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7F780" w14:textId="77777777" w:rsidR="005351A3" w:rsidRPr="00C146F9" w:rsidRDefault="00BD1E6E">
      <w:pPr>
        <w:spacing w:before="120" w:after="120"/>
        <w:rPr>
          <w:rFonts w:ascii="Calibri" w:eastAsia="Calibri" w:hAnsi="Calibri" w:cs="Calibri"/>
          <w:b/>
          <w:color w:val="FFC000"/>
          <w:sz w:val="36"/>
          <w:szCs w:val="36"/>
        </w:rPr>
      </w:pPr>
      <w:r w:rsidRPr="00C146F9">
        <w:rPr>
          <w:rFonts w:ascii="Calibri" w:eastAsia="Calibri" w:hAnsi="Calibri" w:cs="Calibri"/>
          <w:b/>
          <w:color w:val="FFC000"/>
          <w:sz w:val="36"/>
          <w:szCs w:val="36"/>
        </w:rPr>
        <w:t xml:space="preserve">Integrated sub-regional planning informed by weighted spatial network models: </w:t>
      </w:r>
    </w:p>
    <w:p w14:paraId="7F6ECDAD" w14:textId="77777777" w:rsidR="005351A3" w:rsidRPr="00C146F9" w:rsidRDefault="00BD1E6E">
      <w:pPr>
        <w:spacing w:after="240"/>
        <w:rPr>
          <w:rFonts w:ascii="Calibri" w:eastAsia="Calibri" w:hAnsi="Calibri" w:cs="Calibri"/>
          <w:sz w:val="32"/>
          <w:szCs w:val="32"/>
        </w:rPr>
      </w:pPr>
      <w:r w:rsidRPr="00C146F9">
        <w:rPr>
          <w:rFonts w:ascii="Calibri" w:eastAsia="Calibri" w:hAnsi="Calibri" w:cs="Calibri"/>
          <w:sz w:val="32"/>
          <w:szCs w:val="32"/>
        </w:rPr>
        <w:t>The case of Jeddah Sub-regional system</w:t>
      </w:r>
    </w:p>
    <w:tbl>
      <w:tblPr>
        <w:tblStyle w:val="a"/>
        <w:tblW w:w="8222" w:type="dxa"/>
        <w:tblBorders>
          <w:top w:val="single" w:sz="12" w:space="0" w:color="auto"/>
          <w:bottom w:val="single" w:sz="12" w:space="0" w:color="auto"/>
        </w:tblBorders>
        <w:tblLayout w:type="fixed"/>
        <w:tblLook w:val="0400" w:firstRow="0" w:lastRow="0" w:firstColumn="0" w:lastColumn="0" w:noHBand="0" w:noVBand="1"/>
      </w:tblPr>
      <w:tblGrid>
        <w:gridCol w:w="8222"/>
      </w:tblGrid>
      <w:tr w:rsidR="005351A3" w14:paraId="0EE6AFA2" w14:textId="77777777" w:rsidTr="00C146F9">
        <w:trPr>
          <w:trHeight w:val="3328"/>
        </w:trPr>
        <w:tc>
          <w:tcPr>
            <w:tcW w:w="8222" w:type="dxa"/>
          </w:tcPr>
          <w:p w14:paraId="58D5606E" w14:textId="77777777" w:rsidR="005351A3" w:rsidRPr="00C146F9" w:rsidRDefault="005351A3">
            <w:pPr>
              <w:ind w:left="-108"/>
              <w:rPr>
                <w:rFonts w:ascii="Calibri" w:eastAsia="Calibri" w:hAnsi="Calibri" w:cs="Calibri"/>
                <w:b/>
                <w:color w:val="auto"/>
              </w:rPr>
            </w:pPr>
          </w:p>
          <w:p w14:paraId="0CE13C19" w14:textId="77777777" w:rsidR="005351A3" w:rsidRPr="00C146F9" w:rsidRDefault="00BD1E6E">
            <w:pPr>
              <w:ind w:left="-108"/>
              <w:rPr>
                <w:rFonts w:ascii="Calibri" w:eastAsia="Calibri" w:hAnsi="Calibri" w:cs="Calibri"/>
                <w:b/>
                <w:color w:val="auto"/>
              </w:rPr>
            </w:pPr>
            <w:proofErr w:type="spellStart"/>
            <w:r w:rsidRPr="00C146F9">
              <w:rPr>
                <w:rFonts w:ascii="Calibri" w:eastAsia="Calibri" w:hAnsi="Calibri" w:cs="Calibri"/>
                <w:b/>
                <w:color w:val="auto"/>
              </w:rPr>
              <w:t>Kayvan</w:t>
            </w:r>
            <w:proofErr w:type="spellEnd"/>
            <w:r w:rsidRPr="00C146F9">
              <w:rPr>
                <w:rFonts w:ascii="Calibri" w:eastAsia="Calibri" w:hAnsi="Calibri" w:cs="Calibri"/>
                <w:b/>
                <w:color w:val="auto"/>
              </w:rPr>
              <w:t xml:space="preserve"> Karimi</w:t>
            </w:r>
          </w:p>
          <w:p w14:paraId="37CB4048" w14:textId="77777777" w:rsidR="005351A3" w:rsidRDefault="00BD1E6E">
            <w:pPr>
              <w:ind w:left="-108"/>
              <w:rPr>
                <w:rFonts w:ascii="Calibri" w:eastAsia="Calibri" w:hAnsi="Calibri" w:cs="Calibri"/>
                <w:color w:val="595959"/>
                <w:sz w:val="20"/>
                <w:szCs w:val="20"/>
              </w:rPr>
            </w:pPr>
            <w:r>
              <w:rPr>
                <w:rFonts w:ascii="Calibri" w:eastAsia="Calibri" w:hAnsi="Calibri" w:cs="Calibri"/>
                <w:color w:val="595959"/>
                <w:sz w:val="20"/>
                <w:szCs w:val="20"/>
              </w:rPr>
              <w:t>Space Syntax Laboratory, Bartlett School of Architecture, UCL</w:t>
            </w:r>
          </w:p>
          <w:p w14:paraId="0B6DE2A6" w14:textId="77777777" w:rsidR="005351A3" w:rsidRDefault="00000000">
            <w:pPr>
              <w:ind w:left="-108"/>
              <w:rPr>
                <w:rFonts w:ascii="Calibri" w:eastAsia="Calibri" w:hAnsi="Calibri" w:cs="Calibri"/>
                <w:color w:val="EA7600"/>
                <w:sz w:val="20"/>
                <w:szCs w:val="20"/>
              </w:rPr>
            </w:pPr>
            <w:hyperlink r:id="rId7">
              <w:r w:rsidR="00BD1E6E">
                <w:rPr>
                  <w:rFonts w:ascii="Calibri" w:eastAsia="Calibri" w:hAnsi="Calibri" w:cs="Calibri"/>
                  <w:color w:val="595959"/>
                  <w:sz w:val="20"/>
                  <w:szCs w:val="20"/>
                </w:rPr>
                <w:t>k.karimi@ucl.ac.uk</w:t>
              </w:r>
            </w:hyperlink>
          </w:p>
          <w:p w14:paraId="119CC1A4" w14:textId="77777777" w:rsidR="005351A3" w:rsidRDefault="005351A3">
            <w:pPr>
              <w:ind w:left="-108"/>
              <w:rPr>
                <w:rFonts w:ascii="Calibri" w:eastAsia="Calibri" w:hAnsi="Calibri" w:cs="Calibri"/>
                <w:b/>
              </w:rPr>
            </w:pPr>
          </w:p>
          <w:p w14:paraId="45BD610F" w14:textId="77777777" w:rsidR="005351A3" w:rsidRPr="00C146F9" w:rsidRDefault="00BD1E6E">
            <w:pPr>
              <w:ind w:left="-108"/>
              <w:rPr>
                <w:rFonts w:ascii="Calibri" w:eastAsia="Calibri" w:hAnsi="Calibri" w:cs="Calibri"/>
                <w:b/>
                <w:color w:val="auto"/>
              </w:rPr>
            </w:pPr>
            <w:r w:rsidRPr="00C146F9">
              <w:rPr>
                <w:rFonts w:ascii="Calibri" w:eastAsia="Calibri" w:hAnsi="Calibri" w:cs="Calibri"/>
                <w:b/>
                <w:color w:val="auto"/>
              </w:rPr>
              <w:t>Ed Parham</w:t>
            </w:r>
          </w:p>
          <w:p w14:paraId="0D4143EF" w14:textId="77777777" w:rsidR="005351A3" w:rsidRDefault="00BD1E6E">
            <w:pPr>
              <w:ind w:left="-108"/>
              <w:rPr>
                <w:rFonts w:ascii="Calibri" w:eastAsia="Calibri" w:hAnsi="Calibri" w:cs="Calibri"/>
                <w:color w:val="595959"/>
                <w:sz w:val="20"/>
                <w:szCs w:val="20"/>
              </w:rPr>
            </w:pPr>
            <w:r>
              <w:rPr>
                <w:rFonts w:ascii="Calibri" w:eastAsia="Calibri" w:hAnsi="Calibri" w:cs="Calibri"/>
                <w:color w:val="595959"/>
                <w:sz w:val="20"/>
                <w:szCs w:val="20"/>
              </w:rPr>
              <w:t>Space Syntax Limited, UK</w:t>
            </w:r>
          </w:p>
          <w:p w14:paraId="1BD7E63E" w14:textId="77777777" w:rsidR="005351A3" w:rsidRDefault="00000000">
            <w:pPr>
              <w:ind w:left="-108"/>
              <w:rPr>
                <w:rFonts w:ascii="Calibri" w:eastAsia="Calibri" w:hAnsi="Calibri" w:cs="Calibri"/>
                <w:color w:val="595959"/>
                <w:sz w:val="20"/>
                <w:szCs w:val="20"/>
              </w:rPr>
            </w:pPr>
            <w:hyperlink r:id="rId8">
              <w:r w:rsidR="00BD1E6E">
                <w:rPr>
                  <w:rFonts w:ascii="Calibri" w:eastAsia="Calibri" w:hAnsi="Calibri" w:cs="Calibri"/>
                  <w:color w:val="595959"/>
                  <w:sz w:val="20"/>
                  <w:szCs w:val="20"/>
                </w:rPr>
                <w:t>e.parham@spacesyntax.com</w:t>
              </w:r>
            </w:hyperlink>
          </w:p>
          <w:p w14:paraId="44A897C3" w14:textId="77777777" w:rsidR="005351A3" w:rsidRDefault="005351A3">
            <w:pPr>
              <w:ind w:left="-108"/>
              <w:rPr>
                <w:rFonts w:ascii="Calibri" w:eastAsia="Calibri" w:hAnsi="Calibri" w:cs="Calibri"/>
                <w:color w:val="7F7F7F"/>
              </w:rPr>
            </w:pPr>
          </w:p>
          <w:p w14:paraId="12D2F95F" w14:textId="77777777" w:rsidR="005351A3" w:rsidRPr="00C146F9" w:rsidRDefault="00BD1E6E">
            <w:pPr>
              <w:ind w:left="-108"/>
              <w:rPr>
                <w:rFonts w:ascii="Calibri" w:eastAsia="Calibri" w:hAnsi="Calibri" w:cs="Calibri"/>
                <w:b/>
                <w:color w:val="auto"/>
              </w:rPr>
            </w:pPr>
            <w:r w:rsidRPr="00C146F9">
              <w:rPr>
                <w:rFonts w:ascii="Calibri" w:eastAsia="Calibri" w:hAnsi="Calibri" w:cs="Calibri"/>
                <w:b/>
                <w:color w:val="auto"/>
              </w:rPr>
              <w:t>Abhimanyu Acharya</w:t>
            </w:r>
          </w:p>
          <w:p w14:paraId="42B569B5" w14:textId="77777777" w:rsidR="005351A3" w:rsidRDefault="00BD1E6E">
            <w:pPr>
              <w:ind w:left="-108"/>
              <w:rPr>
                <w:rFonts w:ascii="Calibri" w:eastAsia="Calibri" w:hAnsi="Calibri" w:cs="Calibri"/>
                <w:color w:val="595959"/>
                <w:sz w:val="20"/>
                <w:szCs w:val="20"/>
              </w:rPr>
            </w:pPr>
            <w:r>
              <w:rPr>
                <w:rFonts w:ascii="Calibri" w:eastAsia="Calibri" w:hAnsi="Calibri" w:cs="Calibri"/>
                <w:color w:val="595959"/>
                <w:sz w:val="20"/>
                <w:szCs w:val="20"/>
              </w:rPr>
              <w:t>Space Syntax Limited, UK</w:t>
            </w:r>
          </w:p>
          <w:p w14:paraId="44A5276F" w14:textId="77777777" w:rsidR="005351A3" w:rsidRDefault="00000000">
            <w:pPr>
              <w:ind w:left="-108"/>
              <w:rPr>
                <w:rFonts w:ascii="Calibri" w:eastAsia="Calibri" w:hAnsi="Calibri" w:cs="Calibri"/>
                <w:color w:val="595959"/>
                <w:sz w:val="20"/>
                <w:szCs w:val="20"/>
              </w:rPr>
            </w:pPr>
            <w:hyperlink r:id="rId9">
              <w:r w:rsidR="00BD1E6E">
                <w:rPr>
                  <w:rFonts w:ascii="Calibri" w:eastAsia="Calibri" w:hAnsi="Calibri" w:cs="Calibri"/>
                  <w:color w:val="595959"/>
                  <w:sz w:val="20"/>
                  <w:szCs w:val="20"/>
                </w:rPr>
                <w:t>a.acharya@spacesyntax.com</w:t>
              </w:r>
            </w:hyperlink>
          </w:p>
        </w:tc>
      </w:tr>
    </w:tbl>
    <w:p w14:paraId="42EC9951" w14:textId="77777777" w:rsidR="005351A3" w:rsidRDefault="00BD1E6E">
      <w:pPr>
        <w:rPr>
          <w:color w:val="7F7F7F"/>
          <w:sz w:val="22"/>
          <w:szCs w:val="22"/>
        </w:rPr>
      </w:pPr>
      <w:r>
        <w:rPr>
          <w:noProof/>
          <w:lang w:val="en-US"/>
        </w:rPr>
        <mc:AlternateContent>
          <mc:Choice Requires="wps">
            <w:drawing>
              <wp:anchor distT="0" distB="0" distL="114300" distR="114300" simplePos="0" relativeHeight="251658240" behindDoc="0" locked="0" layoutInCell="1" hidden="0" allowOverlap="1" wp14:anchorId="0B247398" wp14:editId="107353AE">
                <wp:simplePos x="0" y="0"/>
                <wp:positionH relativeFrom="column">
                  <wp:posOffset>4152900</wp:posOffset>
                </wp:positionH>
                <wp:positionV relativeFrom="paragraph">
                  <wp:posOffset>38100</wp:posOffset>
                </wp:positionV>
                <wp:extent cx="1118870" cy="327025"/>
                <wp:effectExtent l="0" t="0" r="0" b="0"/>
                <wp:wrapSquare wrapText="bothSides" distT="0" distB="0" distL="114300" distR="114300"/>
                <wp:docPr id="223235" name="Rectangle 223235"/>
                <wp:cNvGraphicFramePr/>
                <a:graphic xmlns:a="http://schemas.openxmlformats.org/drawingml/2006/main">
                  <a:graphicData uri="http://schemas.microsoft.com/office/word/2010/wordprocessingShape">
                    <wps:wsp>
                      <wps:cNvSpPr/>
                      <wps:spPr>
                        <a:xfrm>
                          <a:off x="4791328" y="3621250"/>
                          <a:ext cx="1109345" cy="317500"/>
                        </a:xfrm>
                        <a:prstGeom prst="rect">
                          <a:avLst/>
                        </a:prstGeom>
                        <a:noFill/>
                        <a:ln>
                          <a:noFill/>
                        </a:ln>
                      </wps:spPr>
                      <wps:txbx>
                        <w:txbxContent>
                          <w:p w14:paraId="6FE3EDFA" w14:textId="77777777" w:rsidR="005351A3" w:rsidRPr="00C146F9" w:rsidRDefault="00BD1E6E">
                            <w:pPr>
                              <w:jc w:val="right"/>
                              <w:textDirection w:val="btLr"/>
                              <w:rPr>
                                <w:color w:val="FFC000"/>
                              </w:rPr>
                            </w:pPr>
                            <w:r w:rsidRPr="00C146F9">
                              <w:rPr>
                                <w:rFonts w:ascii="Calibri" w:eastAsia="Calibri" w:hAnsi="Calibri" w:cs="Calibri"/>
                                <w:color w:val="FFC000"/>
                                <w:sz w:val="20"/>
                              </w:rPr>
                              <w:t>Pages: xxx-xxx</w:t>
                            </w:r>
                          </w:p>
                        </w:txbxContent>
                      </wps:txbx>
                      <wps:bodyPr spcFirstLastPara="1" wrap="square" lIns="91425" tIns="45700" rIns="91425" bIns="45700" anchor="t" anchorCtr="0">
                        <a:noAutofit/>
                      </wps:bodyPr>
                    </wps:wsp>
                  </a:graphicData>
                </a:graphic>
              </wp:anchor>
            </w:drawing>
          </mc:Choice>
          <mc:Fallback>
            <w:pict>
              <v:rect id="Rectangle 223235" o:spid="_x0000_s1026" style="position:absolute;margin-left:327pt;margin-top:3pt;width:88.1pt;height:25.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" filled="f" stroked="f">
                <v:textbox inset="2.53958mm,1.2694mm,2.53958mm,1.2694mm">
                  <w:txbxContent>
                    <w:p w:rsidR="005351A3" w:rsidRPr="00C146F9" w:rsidRDefault="00BD1E6E">
                      <w:pPr>
                        <w:jc w:val="right"/>
                        <w:textDirection w:val="btLr"/>
                        <w:rPr>
                          <w:color w:val="FFC000"/>
                        </w:rPr>
                      </w:pPr>
                      <w:r w:rsidRPr="00C146F9">
                        <w:rPr>
                          <w:rFonts w:ascii="Calibri" w:eastAsia="Calibri" w:hAnsi="Calibri" w:cs="Calibri"/>
                          <w:color w:val="FFC000"/>
                          <w:sz w:val="20"/>
                        </w:rPr>
                        <w:t>Pages: xxx-xxx</w:t>
                      </w:r>
                    </w:p>
                  </w:txbxContent>
                </v:textbox>
                <w10:wrap type="square"/>
              </v:rect>
            </w:pict>
          </mc:Fallback>
        </mc:AlternateContent>
      </w:r>
    </w:p>
    <w:p w14:paraId="09C28C80" w14:textId="77777777" w:rsidR="005351A3" w:rsidRDefault="00BD1E6E">
      <w:pPr>
        <w:pStyle w:val="Heading1"/>
      </w:pPr>
      <w:r>
        <w:t>Abstract</w:t>
      </w:r>
    </w:p>
    <w:p w14:paraId="0794B656" w14:textId="77777777" w:rsidR="005351A3" w:rsidRDefault="00BD1E6E">
      <w:pPr>
        <w:spacing w:after="200"/>
        <w:jc w:val="both"/>
        <w:rPr>
          <w:rFonts w:ascii="Calibri" w:eastAsia="Calibri" w:hAnsi="Calibri" w:cs="Calibri"/>
          <w:i/>
          <w:sz w:val="20"/>
          <w:szCs w:val="20"/>
        </w:rPr>
      </w:pPr>
      <w:r>
        <w:rPr>
          <w:rFonts w:ascii="Calibri" w:eastAsia="Calibri" w:hAnsi="Calibri" w:cs="Calibri"/>
          <w:i/>
          <w:sz w:val="20"/>
          <w:szCs w:val="20"/>
        </w:rPr>
        <w:t>Existing Space Syntax methodologies provide the tools to measure the impact of proposed spatial changes, but are strongly dependant on the quality and availability of the spatial data. This becomes particularly more complex when major land use changes or development projects are proposed in a large region and there is no or ve</w:t>
      </w:r>
      <w:r w:rsidR="00C146F9">
        <w:rPr>
          <w:rFonts w:ascii="Calibri" w:eastAsia="Calibri" w:hAnsi="Calibri" w:cs="Calibri"/>
          <w:i/>
          <w:sz w:val="20"/>
          <w:szCs w:val="20"/>
        </w:rPr>
        <w:t>r</w:t>
      </w:r>
      <w:r>
        <w:rPr>
          <w:rFonts w:ascii="Calibri" w:eastAsia="Calibri" w:hAnsi="Calibri" w:cs="Calibri"/>
          <w:i/>
          <w:sz w:val="20"/>
          <w:szCs w:val="20"/>
        </w:rPr>
        <w:t>y little spatial layout data available for them. To counter this problem it is suggested that an ‘integrated urban model’ can be developed by using land use and demographic data to supplement the lack of spatial layout data and create a more realistic model for evaluating planning decisions. This paper explores the use of a ‘weighted space syntax’ model to contribute to the process of integrated urban planning for a large urban region in a major planning exercise in Jeddah, Saudi Arabia. The study aims at identifying the growth pattern and development potentials of the Jeddah Sub-regional system along with testing planning proposals for its growth over the next twenty years. The method for allocating the weighting to the segments of spatial networks by dividing the city into ‘superblocks’, identified by the foreground network and morphological similarities or spatial conditions such as existing municipal districts and major development boundaries. The weighting is then applied to the segments per unit length since longer segments have a higher probability of having a higher number of plots. The output is a spatial analysis impacted by the land use distribution, which adds the attraction or repulsion to movement generated by certain land uses to the spatial configuration and provides an accurate depiction of the functioning of the city. With this methodology we are able to estimate the impact of any number of projects of varying scales, at different time periods. This model has been integrated into the planning process through working with the lead planners in Jeddah at different stages of the project in both informative and evaluative modes. The result is an iterative, evidence-based approach and a collaborative framework for the planning and decision making, which could be adopted in future planning for Jeddah or elsewhere.</w:t>
      </w:r>
    </w:p>
    <w:p w14:paraId="6F23BEAE" w14:textId="77777777" w:rsidR="005351A3" w:rsidRDefault="00BD1E6E">
      <w:pPr>
        <w:pStyle w:val="Heading1"/>
      </w:pPr>
      <w:r>
        <w:t>Keywords</w:t>
      </w:r>
    </w:p>
    <w:p w14:paraId="49571751" w14:textId="77777777" w:rsidR="005351A3" w:rsidRDefault="00BD1E6E">
      <w:pPr>
        <w:rPr>
          <w:rFonts w:ascii="Calibri" w:eastAsia="Calibri" w:hAnsi="Calibri" w:cs="Calibri"/>
          <w:i/>
          <w:sz w:val="20"/>
          <w:szCs w:val="20"/>
        </w:rPr>
      </w:pPr>
      <w:r>
        <w:rPr>
          <w:rFonts w:ascii="Calibri" w:eastAsia="Calibri" w:hAnsi="Calibri" w:cs="Calibri"/>
          <w:i/>
          <w:sz w:val="20"/>
          <w:szCs w:val="20"/>
        </w:rPr>
        <w:t>Planning process, sub-regional plans, integrated urban models, weighted space syntax analysis, planning option testing, rapid urbanisation.</w:t>
      </w:r>
    </w:p>
    <w:p w14:paraId="2D264CE1" w14:textId="77777777" w:rsidR="005351A3" w:rsidRDefault="005351A3">
      <w:pPr>
        <w:spacing w:after="200"/>
        <w:jc w:val="both"/>
        <w:rPr>
          <w:rFonts w:ascii="Calibri" w:eastAsia="Calibri" w:hAnsi="Calibri" w:cs="Calibri"/>
          <w:sz w:val="20"/>
          <w:szCs w:val="20"/>
        </w:rPr>
      </w:pPr>
    </w:p>
    <w:p w14:paraId="31600E09" w14:textId="77777777" w:rsidR="005351A3" w:rsidRDefault="005351A3">
      <w:pPr>
        <w:spacing w:after="200"/>
        <w:jc w:val="both"/>
        <w:rPr>
          <w:rFonts w:ascii="Calibri" w:eastAsia="Calibri" w:hAnsi="Calibri" w:cs="Calibri"/>
          <w:sz w:val="20"/>
          <w:szCs w:val="20"/>
        </w:rPr>
      </w:pPr>
    </w:p>
    <w:p w14:paraId="4D072EE2" w14:textId="77777777" w:rsidR="005351A3" w:rsidRDefault="00BD1E6E">
      <w:pPr>
        <w:spacing w:after="120"/>
        <w:jc w:val="both"/>
      </w:pPr>
      <w:r>
        <w:rPr>
          <w:noProof/>
          <w:lang w:val="en-US"/>
        </w:rPr>
        <w:drawing>
          <wp:inline distT="0" distB="0" distL="0" distR="0" wp14:anchorId="335DFC4C" wp14:editId="37A4D164">
            <wp:extent cx="2572124" cy="2234833"/>
            <wp:effectExtent l="0" t="0" r="0" b="0"/>
            <wp:docPr id="223236" name="image3.jpg" descr="HistoricCore_Img1"/>
            <wp:cNvGraphicFramePr/>
            <a:graphic xmlns:a="http://schemas.openxmlformats.org/drawingml/2006/main">
              <a:graphicData uri="http://schemas.openxmlformats.org/drawingml/2006/picture">
                <pic:pic xmlns:pic="http://schemas.openxmlformats.org/drawingml/2006/picture">
                  <pic:nvPicPr>
                    <pic:cNvPr id="0" name="image3.jpg" descr="HistoricCore_Img1"/>
                    <pic:cNvPicPr preferRelativeResize="0"/>
                  </pic:nvPicPr>
                  <pic:blipFill>
                    <a:blip r:embed="rId10"/>
                    <a:srcRect l="3853"/>
                    <a:stretch>
                      <a:fillRect/>
                    </a:stretch>
                  </pic:blipFill>
                  <pic:spPr>
                    <a:xfrm>
                      <a:off x="0" y="0"/>
                      <a:ext cx="2572124" cy="2234833"/>
                    </a:xfrm>
                    <a:prstGeom prst="rect">
                      <a:avLst/>
                    </a:prstGeom>
                    <a:ln/>
                  </pic:spPr>
                </pic:pic>
              </a:graphicData>
            </a:graphic>
          </wp:inline>
        </w:drawing>
      </w:r>
      <w:r>
        <w:t xml:space="preserve"> </w:t>
      </w:r>
      <w:r>
        <w:rPr>
          <w:noProof/>
          <w:lang w:val="en-US"/>
        </w:rPr>
        <w:drawing>
          <wp:inline distT="0" distB="0" distL="0" distR="0" wp14:anchorId="4901C4BE" wp14:editId="63E57793">
            <wp:extent cx="2570447" cy="2237330"/>
            <wp:effectExtent l="0" t="0" r="0" b="0"/>
            <wp:docPr id="223237" name="image2.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diagram&#10;&#10;Description automatically generated"/>
                    <pic:cNvPicPr preferRelativeResize="0"/>
                  </pic:nvPicPr>
                  <pic:blipFill>
                    <a:blip r:embed="rId11"/>
                    <a:srcRect/>
                    <a:stretch>
                      <a:fillRect/>
                    </a:stretch>
                  </pic:blipFill>
                  <pic:spPr>
                    <a:xfrm>
                      <a:off x="0" y="0"/>
                      <a:ext cx="2570447" cy="2237330"/>
                    </a:xfrm>
                    <a:prstGeom prst="rect">
                      <a:avLst/>
                    </a:prstGeom>
                    <a:ln/>
                  </pic:spPr>
                </pic:pic>
              </a:graphicData>
            </a:graphic>
          </wp:inline>
        </w:drawing>
      </w:r>
    </w:p>
    <w:p w14:paraId="279E761C" w14:textId="77777777" w:rsidR="005351A3" w:rsidRDefault="00BD1E6E">
      <w:pPr>
        <w:spacing w:after="200"/>
        <w:jc w:val="both"/>
        <w:rPr>
          <w:rFonts w:ascii="Calibri" w:eastAsia="Calibri" w:hAnsi="Calibri" w:cs="Calibri"/>
          <w:sz w:val="20"/>
          <w:szCs w:val="20"/>
        </w:rPr>
      </w:pPr>
      <w:r>
        <w:rPr>
          <w:rFonts w:ascii="Calibri" w:eastAsia="Calibri" w:hAnsi="Calibri" w:cs="Calibri"/>
          <w:b/>
          <w:sz w:val="18"/>
          <w:szCs w:val="18"/>
        </w:rPr>
        <w:t>Figure 1</w:t>
      </w:r>
      <w:r>
        <w:rPr>
          <w:rFonts w:ascii="Calibri" w:eastAsia="Calibri" w:hAnsi="Calibri" w:cs="Calibri"/>
          <w:sz w:val="18"/>
          <w:szCs w:val="18"/>
        </w:rPr>
        <w:t>: The City of Jeddah before modern transformations c.1947, left, and in the early stages of rapid growth, right (Space Syntax Limited, 2006)</w:t>
      </w:r>
    </w:p>
    <w:p w14:paraId="0525DA21" w14:textId="77777777" w:rsidR="005351A3" w:rsidRDefault="005351A3">
      <w:pPr>
        <w:spacing w:after="200"/>
        <w:jc w:val="both"/>
        <w:rPr>
          <w:rFonts w:ascii="Calibri" w:eastAsia="Calibri" w:hAnsi="Calibri" w:cs="Calibri"/>
          <w:sz w:val="20"/>
          <w:szCs w:val="20"/>
        </w:rPr>
      </w:pPr>
    </w:p>
    <w:p w14:paraId="182DE22E" w14:textId="77777777" w:rsidR="005351A3" w:rsidRDefault="00BD1E6E">
      <w:pPr>
        <w:pBdr>
          <w:top w:val="nil"/>
          <w:left w:val="nil"/>
          <w:bottom w:val="nil"/>
          <w:right w:val="nil"/>
          <w:between w:val="nil"/>
        </w:pBdr>
        <w:shd w:val="clear" w:color="auto" w:fill="FFFFFF"/>
        <w:spacing w:before="480" w:after="120"/>
        <w:rPr>
          <w:rFonts w:ascii="Calibri" w:eastAsia="Calibri" w:hAnsi="Calibri" w:cs="Calibri"/>
          <w:b/>
          <w:color w:val="222222"/>
          <w:sz w:val="20"/>
          <w:szCs w:val="20"/>
        </w:rPr>
      </w:pPr>
      <w:r>
        <w:rPr>
          <w:rFonts w:ascii="Calibri" w:eastAsia="Calibri" w:hAnsi="Calibri" w:cs="Calibri"/>
          <w:b/>
          <w:color w:val="222222"/>
          <w:sz w:val="20"/>
          <w:szCs w:val="20"/>
        </w:rPr>
        <w:t>References</w:t>
      </w:r>
    </w:p>
    <w:p w14:paraId="334ACF69" w14:textId="77777777" w:rsidR="005351A3" w:rsidRDefault="00BD1E6E">
      <w:pPr>
        <w:pBdr>
          <w:top w:val="nil"/>
          <w:left w:val="nil"/>
          <w:bottom w:val="nil"/>
          <w:right w:val="nil"/>
          <w:between w:val="nil"/>
        </w:pBdr>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AECOM. (2013). </w:t>
      </w:r>
      <w:r>
        <w:rPr>
          <w:rFonts w:ascii="Calibri" w:eastAsia="Calibri" w:hAnsi="Calibri" w:cs="Calibri"/>
          <w:i/>
          <w:color w:val="000000"/>
          <w:sz w:val="20"/>
          <w:szCs w:val="20"/>
        </w:rPr>
        <w:t>Jeddah Strategic Plan Revision</w:t>
      </w:r>
      <w:r>
        <w:rPr>
          <w:rFonts w:ascii="Calibri" w:eastAsia="Calibri" w:hAnsi="Calibri" w:cs="Calibri"/>
          <w:color w:val="000000"/>
          <w:sz w:val="20"/>
          <w:szCs w:val="20"/>
        </w:rPr>
        <w:t xml:space="preserve">. Jeddah, Saudi Arabia: </w:t>
      </w:r>
      <w:proofErr w:type="spellStart"/>
      <w:r>
        <w:rPr>
          <w:rFonts w:ascii="Calibri" w:eastAsia="Calibri" w:hAnsi="Calibri" w:cs="Calibri"/>
          <w:color w:val="000000"/>
          <w:sz w:val="20"/>
          <w:szCs w:val="20"/>
        </w:rPr>
        <w:t>Municiplaity</w:t>
      </w:r>
      <w:proofErr w:type="spellEnd"/>
      <w:r>
        <w:rPr>
          <w:rFonts w:ascii="Calibri" w:eastAsia="Calibri" w:hAnsi="Calibri" w:cs="Calibri"/>
          <w:color w:val="000000"/>
          <w:sz w:val="20"/>
          <w:szCs w:val="20"/>
        </w:rPr>
        <w:t xml:space="preserve"> of Jeddah.</w:t>
      </w:r>
    </w:p>
    <w:p w14:paraId="5803BAAC" w14:textId="77777777" w:rsidR="005351A3" w:rsidRDefault="00BD1E6E">
      <w:pPr>
        <w:pBdr>
          <w:top w:val="nil"/>
          <w:left w:val="nil"/>
          <w:bottom w:val="nil"/>
          <w:right w:val="nil"/>
          <w:between w:val="nil"/>
        </w:pBdr>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AECOM. (2014). </w:t>
      </w:r>
      <w:r>
        <w:rPr>
          <w:rFonts w:ascii="Calibri" w:eastAsia="Calibri" w:hAnsi="Calibri" w:cs="Calibri"/>
          <w:i/>
          <w:color w:val="000000"/>
          <w:sz w:val="20"/>
          <w:szCs w:val="20"/>
        </w:rPr>
        <w:t>Jeddah Sub-Regional Plan, Sectoral reports</w:t>
      </w:r>
      <w:r>
        <w:rPr>
          <w:rFonts w:ascii="Calibri" w:eastAsia="Calibri" w:hAnsi="Calibri" w:cs="Calibri"/>
          <w:color w:val="000000"/>
          <w:sz w:val="20"/>
          <w:szCs w:val="20"/>
        </w:rPr>
        <w:t xml:space="preserve">. Jeddah, Saudi Arabia: </w:t>
      </w:r>
      <w:proofErr w:type="spellStart"/>
      <w:r>
        <w:rPr>
          <w:rFonts w:ascii="Calibri" w:eastAsia="Calibri" w:hAnsi="Calibri" w:cs="Calibri"/>
          <w:color w:val="000000"/>
          <w:sz w:val="20"/>
          <w:szCs w:val="20"/>
        </w:rPr>
        <w:t>Municiplaity</w:t>
      </w:r>
      <w:proofErr w:type="spellEnd"/>
      <w:r>
        <w:rPr>
          <w:rFonts w:ascii="Calibri" w:eastAsia="Calibri" w:hAnsi="Calibri" w:cs="Calibri"/>
          <w:color w:val="000000"/>
          <w:sz w:val="20"/>
          <w:szCs w:val="20"/>
        </w:rPr>
        <w:t xml:space="preserve"> of Jeddah.</w:t>
      </w:r>
    </w:p>
    <w:p w14:paraId="221D35EC" w14:textId="77777777" w:rsidR="005351A3" w:rsidRDefault="00BD1E6E">
      <w:pPr>
        <w:pBdr>
          <w:top w:val="nil"/>
          <w:left w:val="nil"/>
          <w:bottom w:val="nil"/>
          <w:right w:val="nil"/>
          <w:between w:val="nil"/>
        </w:pBdr>
        <w:ind w:left="567" w:hanging="567"/>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Bahaydar</w:t>
      </w:r>
      <w:proofErr w:type="spellEnd"/>
      <w:r>
        <w:rPr>
          <w:rFonts w:ascii="Calibri" w:eastAsia="Calibri" w:hAnsi="Calibri" w:cs="Calibri"/>
          <w:color w:val="000000"/>
          <w:sz w:val="20"/>
          <w:szCs w:val="20"/>
        </w:rPr>
        <w:t xml:space="preserve">, M. H. (2013). </w:t>
      </w:r>
      <w:r>
        <w:rPr>
          <w:rFonts w:ascii="Calibri" w:eastAsia="Calibri" w:hAnsi="Calibri" w:cs="Calibri"/>
          <w:i/>
          <w:color w:val="000000"/>
          <w:sz w:val="20"/>
          <w:szCs w:val="20"/>
        </w:rPr>
        <w:t>Urban Sprawl and Its Negative Effects on Jeddah</w:t>
      </w:r>
      <w:r>
        <w:rPr>
          <w:rFonts w:ascii="Calibri" w:eastAsia="Calibri" w:hAnsi="Calibri" w:cs="Calibri"/>
          <w:color w:val="000000"/>
          <w:sz w:val="20"/>
          <w:szCs w:val="20"/>
        </w:rPr>
        <w:t>.</w:t>
      </w:r>
    </w:p>
    <w:p w14:paraId="55AA659E" w14:textId="77777777" w:rsidR="005351A3" w:rsidRDefault="00BD1E6E">
      <w:pPr>
        <w:pBdr>
          <w:top w:val="nil"/>
          <w:left w:val="nil"/>
          <w:bottom w:val="nil"/>
          <w:right w:val="nil"/>
          <w:between w:val="nil"/>
        </w:pBdr>
        <w:ind w:left="567" w:hanging="567"/>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Daghistani</w:t>
      </w:r>
      <w:proofErr w:type="spellEnd"/>
      <w:r>
        <w:rPr>
          <w:rFonts w:ascii="Calibri" w:eastAsia="Calibri" w:hAnsi="Calibri" w:cs="Calibri"/>
          <w:color w:val="000000"/>
          <w:sz w:val="20"/>
          <w:szCs w:val="20"/>
        </w:rPr>
        <w:t xml:space="preserve">, A.-M. (1993, November). </w:t>
      </w:r>
      <w:r>
        <w:rPr>
          <w:rFonts w:ascii="Calibri" w:eastAsia="Calibri" w:hAnsi="Calibri" w:cs="Calibri"/>
          <w:i/>
          <w:color w:val="000000"/>
          <w:sz w:val="20"/>
          <w:szCs w:val="20"/>
        </w:rPr>
        <w:t xml:space="preserve">A case study in planning implementation, Jeddah, Saudi </w:t>
      </w:r>
      <w:proofErr w:type="gramStart"/>
      <w:r>
        <w:rPr>
          <w:rFonts w:ascii="Calibri" w:eastAsia="Calibri" w:hAnsi="Calibri" w:cs="Calibri"/>
          <w:i/>
          <w:color w:val="000000"/>
          <w:sz w:val="20"/>
          <w:szCs w:val="20"/>
        </w:rPr>
        <w:t>Arabia,</w:t>
      </w:r>
      <w:r>
        <w:rPr>
          <w:rFonts w:ascii="Calibri" w:eastAsia="Calibri" w:hAnsi="Calibri" w:cs="Calibri"/>
          <w:color w:val="000000"/>
          <w:sz w:val="20"/>
          <w:szCs w:val="20"/>
        </w:rPr>
        <w:t>.</w:t>
      </w:r>
      <w:proofErr w:type="gramEnd"/>
      <w:r>
        <w:rPr>
          <w:rFonts w:ascii="Calibri" w:eastAsia="Calibri" w:hAnsi="Calibri" w:cs="Calibri"/>
          <w:color w:val="000000"/>
          <w:sz w:val="20"/>
          <w:szCs w:val="20"/>
        </w:rPr>
        <w:t xml:space="preserve"> Newcastle.</w:t>
      </w:r>
    </w:p>
    <w:p w14:paraId="050931CC" w14:textId="77777777" w:rsidR="005351A3" w:rsidRDefault="00BD1E6E">
      <w:pPr>
        <w:pBdr>
          <w:top w:val="nil"/>
          <w:left w:val="nil"/>
          <w:bottom w:val="nil"/>
          <w:right w:val="nil"/>
          <w:between w:val="nil"/>
        </w:pBdr>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Dhanani, A., Vaughan, L., Ellul, C., &amp; Griffiths, S. (2012). From the axial line to the walked line: evaluating the utility of commercial and user‐generated street network datasets in space syntax analysis. In </w:t>
      </w:r>
      <w:r>
        <w:rPr>
          <w:rFonts w:ascii="Calibri" w:eastAsia="Calibri" w:hAnsi="Calibri" w:cs="Calibri"/>
          <w:i/>
          <w:color w:val="000000"/>
          <w:sz w:val="20"/>
          <w:szCs w:val="20"/>
        </w:rPr>
        <w:t>Eighth International Space Syntax Symposium</w:t>
      </w:r>
      <w:r>
        <w:rPr>
          <w:rFonts w:ascii="Calibri" w:eastAsia="Calibri" w:hAnsi="Calibri" w:cs="Calibri"/>
          <w:color w:val="000000"/>
          <w:sz w:val="20"/>
          <w:szCs w:val="20"/>
        </w:rPr>
        <w:t>. Santiago, Chile.</w:t>
      </w:r>
    </w:p>
    <w:p w14:paraId="4CC818F4" w14:textId="77777777" w:rsidR="005351A3" w:rsidRDefault="00BD1E6E">
      <w:pPr>
        <w:pBdr>
          <w:top w:val="nil"/>
          <w:left w:val="nil"/>
          <w:bottom w:val="nil"/>
          <w:right w:val="nil"/>
          <w:between w:val="nil"/>
        </w:pBdr>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El-</w:t>
      </w:r>
      <w:proofErr w:type="spellStart"/>
      <w:r>
        <w:rPr>
          <w:rFonts w:ascii="Calibri" w:eastAsia="Calibri" w:hAnsi="Calibri" w:cs="Calibri"/>
          <w:color w:val="000000"/>
          <w:sz w:val="20"/>
          <w:szCs w:val="20"/>
        </w:rPr>
        <w:t>Shafie</w:t>
      </w:r>
      <w:proofErr w:type="spellEnd"/>
      <w:r>
        <w:rPr>
          <w:rFonts w:ascii="Calibri" w:eastAsia="Calibri" w:hAnsi="Calibri" w:cs="Calibri"/>
          <w:color w:val="000000"/>
          <w:sz w:val="20"/>
          <w:szCs w:val="20"/>
        </w:rPr>
        <w:t xml:space="preserve">, M. (2010). Human-Environment Interactions: Phenomenal Relationships. </w:t>
      </w:r>
      <w:r>
        <w:rPr>
          <w:rFonts w:ascii="Calibri" w:eastAsia="Calibri" w:hAnsi="Calibri" w:cs="Calibri"/>
          <w:i/>
          <w:color w:val="000000"/>
          <w:sz w:val="20"/>
          <w:szCs w:val="20"/>
        </w:rPr>
        <w:t>International Journal of Civil &amp; Environmental Engineering</w:t>
      </w:r>
      <w:r>
        <w:rPr>
          <w:rFonts w:ascii="Calibri" w:eastAsia="Calibri" w:hAnsi="Calibri" w:cs="Calibri"/>
          <w:color w:val="000000"/>
          <w:sz w:val="20"/>
          <w:szCs w:val="20"/>
        </w:rPr>
        <w:t xml:space="preserve">, </w:t>
      </w:r>
      <w:r>
        <w:rPr>
          <w:rFonts w:ascii="Calibri" w:eastAsia="Calibri" w:hAnsi="Calibri" w:cs="Calibri"/>
          <w:i/>
          <w:color w:val="000000"/>
          <w:sz w:val="20"/>
          <w:szCs w:val="20"/>
        </w:rPr>
        <w:t>10</w:t>
      </w:r>
      <w:r>
        <w:rPr>
          <w:rFonts w:ascii="Calibri" w:eastAsia="Calibri" w:hAnsi="Calibri" w:cs="Calibri"/>
          <w:color w:val="000000"/>
          <w:sz w:val="20"/>
          <w:szCs w:val="20"/>
        </w:rPr>
        <w:t>(04), 21–29.</w:t>
      </w:r>
    </w:p>
    <w:p w14:paraId="33722B2C" w14:textId="77777777" w:rsidR="005351A3" w:rsidRDefault="00BD1E6E">
      <w:pPr>
        <w:pBdr>
          <w:top w:val="nil"/>
          <w:left w:val="nil"/>
          <w:bottom w:val="nil"/>
          <w:right w:val="nil"/>
          <w:between w:val="nil"/>
        </w:pBdr>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Griffiths, S., Vaughan, L., </w:t>
      </w:r>
      <w:proofErr w:type="spellStart"/>
      <w:r>
        <w:rPr>
          <w:rFonts w:ascii="Calibri" w:eastAsia="Calibri" w:hAnsi="Calibri" w:cs="Calibri"/>
          <w:color w:val="000000"/>
          <w:sz w:val="20"/>
          <w:szCs w:val="20"/>
        </w:rPr>
        <w:t>Haklay</w:t>
      </w:r>
      <w:proofErr w:type="spellEnd"/>
      <w:r>
        <w:rPr>
          <w:rFonts w:ascii="Calibri" w:eastAsia="Calibri" w:hAnsi="Calibri" w:cs="Calibri"/>
          <w:color w:val="000000"/>
          <w:sz w:val="20"/>
          <w:szCs w:val="20"/>
        </w:rPr>
        <w:t>, M. (</w:t>
      </w:r>
      <w:proofErr w:type="spellStart"/>
      <w:r>
        <w:rPr>
          <w:rFonts w:ascii="Calibri" w:eastAsia="Calibri" w:hAnsi="Calibri" w:cs="Calibri"/>
          <w:color w:val="000000"/>
          <w:sz w:val="20"/>
          <w:szCs w:val="20"/>
        </w:rPr>
        <w:t>Muki</w:t>
      </w:r>
      <w:proofErr w:type="spellEnd"/>
      <w:r>
        <w:rPr>
          <w:rFonts w:ascii="Calibri" w:eastAsia="Calibri" w:hAnsi="Calibri" w:cs="Calibri"/>
          <w:color w:val="000000"/>
          <w:sz w:val="20"/>
          <w:szCs w:val="20"/>
        </w:rPr>
        <w:t xml:space="preserve">), &amp; Emma Jones, C. (2008). The Sustainable Suburban High Street: A Review of Themes and Approaches. </w:t>
      </w:r>
      <w:r>
        <w:rPr>
          <w:rFonts w:ascii="Calibri" w:eastAsia="Calibri" w:hAnsi="Calibri" w:cs="Calibri"/>
          <w:i/>
          <w:color w:val="000000"/>
          <w:sz w:val="20"/>
          <w:szCs w:val="20"/>
        </w:rPr>
        <w:t>Geography Compass</w:t>
      </w:r>
      <w:r>
        <w:rPr>
          <w:rFonts w:ascii="Calibri" w:eastAsia="Calibri" w:hAnsi="Calibri" w:cs="Calibri"/>
          <w:color w:val="000000"/>
          <w:sz w:val="20"/>
          <w:szCs w:val="20"/>
        </w:rPr>
        <w:t xml:space="preserve">, </w:t>
      </w:r>
      <w:r>
        <w:rPr>
          <w:rFonts w:ascii="Calibri" w:eastAsia="Calibri" w:hAnsi="Calibri" w:cs="Calibri"/>
          <w:i/>
          <w:color w:val="000000"/>
          <w:sz w:val="20"/>
          <w:szCs w:val="20"/>
        </w:rPr>
        <w:t>2</w:t>
      </w:r>
      <w:r>
        <w:rPr>
          <w:rFonts w:ascii="Calibri" w:eastAsia="Calibri" w:hAnsi="Calibri" w:cs="Calibri"/>
          <w:color w:val="000000"/>
          <w:sz w:val="20"/>
          <w:szCs w:val="20"/>
        </w:rPr>
        <w:t>(4), 1155–1188. doi:10.1111/j.1749-8198.2008.00117.x</w:t>
      </w:r>
    </w:p>
    <w:p w14:paraId="3DEF0B5B" w14:textId="77777777" w:rsidR="005351A3" w:rsidRDefault="00BD1E6E">
      <w:pPr>
        <w:pBdr>
          <w:top w:val="nil"/>
          <w:left w:val="nil"/>
          <w:bottom w:val="nil"/>
          <w:right w:val="nil"/>
          <w:between w:val="nil"/>
        </w:pBdr>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Hillier, B. (1996). </w:t>
      </w:r>
      <w:r>
        <w:rPr>
          <w:rFonts w:ascii="Calibri" w:eastAsia="Calibri" w:hAnsi="Calibri" w:cs="Calibri"/>
          <w:i/>
          <w:color w:val="000000"/>
          <w:sz w:val="20"/>
          <w:szCs w:val="20"/>
        </w:rPr>
        <w:t>Space is the Machine: A Configurational Theory of Architecture</w:t>
      </w:r>
      <w:r>
        <w:rPr>
          <w:rFonts w:ascii="Calibri" w:eastAsia="Calibri" w:hAnsi="Calibri" w:cs="Calibri"/>
          <w:color w:val="000000"/>
          <w:sz w:val="20"/>
          <w:szCs w:val="20"/>
        </w:rPr>
        <w:t>. Cambridge University Press.</w:t>
      </w:r>
    </w:p>
    <w:p w14:paraId="169369C5" w14:textId="77777777" w:rsidR="005351A3" w:rsidRDefault="00BD1E6E">
      <w:pPr>
        <w:pBdr>
          <w:top w:val="nil"/>
          <w:left w:val="nil"/>
          <w:bottom w:val="nil"/>
          <w:right w:val="nil"/>
          <w:between w:val="nil"/>
        </w:pBdr>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Hillier, B. (2001). Centrality as a process: accounting for attraction inequalities in deformed grids. </w:t>
      </w:r>
      <w:r>
        <w:rPr>
          <w:rFonts w:ascii="Calibri" w:eastAsia="Calibri" w:hAnsi="Calibri" w:cs="Calibri"/>
          <w:i/>
          <w:color w:val="000000"/>
          <w:sz w:val="20"/>
          <w:szCs w:val="20"/>
        </w:rPr>
        <w:t>Urban Design International</w:t>
      </w:r>
      <w:r>
        <w:rPr>
          <w:rFonts w:ascii="Calibri" w:eastAsia="Calibri" w:hAnsi="Calibri" w:cs="Calibri"/>
          <w:color w:val="000000"/>
          <w:sz w:val="20"/>
          <w:szCs w:val="20"/>
        </w:rPr>
        <w:t xml:space="preserve">, </w:t>
      </w:r>
      <w:r>
        <w:rPr>
          <w:rFonts w:ascii="Calibri" w:eastAsia="Calibri" w:hAnsi="Calibri" w:cs="Calibri"/>
          <w:i/>
          <w:color w:val="000000"/>
          <w:sz w:val="20"/>
          <w:szCs w:val="20"/>
        </w:rPr>
        <w:t>4</w:t>
      </w:r>
      <w:r>
        <w:rPr>
          <w:rFonts w:ascii="Calibri" w:eastAsia="Calibri" w:hAnsi="Calibri" w:cs="Calibri"/>
          <w:color w:val="000000"/>
          <w:sz w:val="20"/>
          <w:szCs w:val="20"/>
        </w:rPr>
        <w:t>(3), 107–127.</w:t>
      </w:r>
    </w:p>
    <w:p w14:paraId="304D5786" w14:textId="77777777" w:rsidR="005351A3" w:rsidRDefault="00BD1E6E">
      <w:pPr>
        <w:pBdr>
          <w:top w:val="nil"/>
          <w:left w:val="nil"/>
          <w:bottom w:val="nil"/>
          <w:right w:val="nil"/>
          <w:between w:val="nil"/>
        </w:pBdr>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Hillier, B. (2002). A Theory of the City as Object: or, how spatial laws mediate the social construction of urban space. </w:t>
      </w:r>
      <w:r>
        <w:rPr>
          <w:rFonts w:ascii="Calibri" w:eastAsia="Calibri" w:hAnsi="Calibri" w:cs="Calibri"/>
          <w:i/>
          <w:color w:val="000000"/>
          <w:sz w:val="20"/>
          <w:szCs w:val="20"/>
        </w:rPr>
        <w:t>Urban Design International</w:t>
      </w:r>
      <w:r>
        <w:rPr>
          <w:rFonts w:ascii="Calibri" w:eastAsia="Calibri" w:hAnsi="Calibri" w:cs="Calibri"/>
          <w:color w:val="000000"/>
          <w:sz w:val="20"/>
          <w:szCs w:val="20"/>
        </w:rPr>
        <w:t xml:space="preserve">, </w:t>
      </w:r>
      <w:r>
        <w:rPr>
          <w:rFonts w:ascii="Calibri" w:eastAsia="Calibri" w:hAnsi="Calibri" w:cs="Calibri"/>
          <w:i/>
          <w:color w:val="000000"/>
          <w:sz w:val="20"/>
          <w:szCs w:val="20"/>
        </w:rPr>
        <w:t>3-4</w:t>
      </w:r>
      <w:r>
        <w:rPr>
          <w:rFonts w:ascii="Calibri" w:eastAsia="Calibri" w:hAnsi="Calibri" w:cs="Calibri"/>
          <w:color w:val="000000"/>
          <w:sz w:val="20"/>
          <w:szCs w:val="20"/>
        </w:rPr>
        <w:t>(127), 153–179.</w:t>
      </w:r>
    </w:p>
    <w:p w14:paraId="222388EC" w14:textId="77777777" w:rsidR="005351A3" w:rsidRDefault="00BD1E6E">
      <w:pPr>
        <w:pBdr>
          <w:top w:val="nil"/>
          <w:left w:val="nil"/>
          <w:bottom w:val="nil"/>
          <w:right w:val="nil"/>
          <w:between w:val="nil"/>
        </w:pBdr>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Hillier, B. (2009). Spatial sustainability in cities: organic patterns and sustainable forms. In </w:t>
      </w:r>
      <w:r>
        <w:rPr>
          <w:rFonts w:ascii="Calibri" w:eastAsia="Calibri" w:hAnsi="Calibri" w:cs="Calibri"/>
          <w:i/>
          <w:color w:val="000000"/>
          <w:sz w:val="20"/>
          <w:szCs w:val="20"/>
        </w:rPr>
        <w:t>Proceedings of the 7th International Space Syntax Symposium</w:t>
      </w:r>
      <w:r>
        <w:rPr>
          <w:rFonts w:ascii="Calibri" w:eastAsia="Calibri" w:hAnsi="Calibri" w:cs="Calibri"/>
          <w:color w:val="000000"/>
          <w:sz w:val="20"/>
          <w:szCs w:val="20"/>
        </w:rPr>
        <w:t>. Stockholm, Sweden.</w:t>
      </w:r>
    </w:p>
    <w:p w14:paraId="48488606" w14:textId="77777777" w:rsidR="005351A3" w:rsidRDefault="00BD1E6E">
      <w:pPr>
        <w:pBdr>
          <w:top w:val="nil"/>
          <w:left w:val="nil"/>
          <w:bottom w:val="nil"/>
          <w:right w:val="nil"/>
          <w:between w:val="nil"/>
        </w:pBdr>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Hillier, B., &amp; Iida, S. (2005). Network and Psychological Effects in Urban Movement. In A. Cohn &amp; D. Mark (Eds.), </w:t>
      </w:r>
      <w:r>
        <w:rPr>
          <w:rFonts w:ascii="Calibri" w:eastAsia="Calibri" w:hAnsi="Calibri" w:cs="Calibri"/>
          <w:i/>
          <w:color w:val="000000"/>
          <w:sz w:val="20"/>
          <w:szCs w:val="20"/>
        </w:rPr>
        <w:t>Spatial Information Theory</w:t>
      </w:r>
      <w:r>
        <w:rPr>
          <w:rFonts w:ascii="Calibri" w:eastAsia="Calibri" w:hAnsi="Calibri" w:cs="Calibri"/>
          <w:color w:val="000000"/>
          <w:sz w:val="20"/>
          <w:szCs w:val="20"/>
        </w:rPr>
        <w:t xml:space="preserve"> (Vol. 3693, pp. 475–490). Springer Berlin / Heidelberg. Retrieved from http://www.springerlink.com/content/10853tquj1mpf95j/abstract/</w:t>
      </w:r>
    </w:p>
    <w:p w14:paraId="214A682D" w14:textId="77777777" w:rsidR="005351A3" w:rsidRDefault="00BD1E6E">
      <w:pPr>
        <w:pBdr>
          <w:top w:val="nil"/>
          <w:left w:val="nil"/>
          <w:bottom w:val="nil"/>
          <w:right w:val="nil"/>
          <w:between w:val="nil"/>
        </w:pBdr>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Hillier, B., &amp; Penn, A. (1996). Cities as Movement Economies. </w:t>
      </w:r>
      <w:r>
        <w:rPr>
          <w:rFonts w:ascii="Calibri" w:eastAsia="Calibri" w:hAnsi="Calibri" w:cs="Calibri"/>
          <w:i/>
          <w:color w:val="000000"/>
          <w:sz w:val="20"/>
          <w:szCs w:val="20"/>
        </w:rPr>
        <w:t>Urban Design International</w:t>
      </w:r>
      <w:r>
        <w:rPr>
          <w:rFonts w:ascii="Calibri" w:eastAsia="Calibri" w:hAnsi="Calibri" w:cs="Calibri"/>
          <w:color w:val="000000"/>
          <w:sz w:val="20"/>
          <w:szCs w:val="20"/>
        </w:rPr>
        <w:t xml:space="preserve">, </w:t>
      </w:r>
      <w:r>
        <w:rPr>
          <w:rFonts w:ascii="Calibri" w:eastAsia="Calibri" w:hAnsi="Calibri" w:cs="Calibri"/>
          <w:i/>
          <w:color w:val="000000"/>
          <w:sz w:val="20"/>
          <w:szCs w:val="20"/>
        </w:rPr>
        <w:t>1</w:t>
      </w:r>
      <w:r>
        <w:rPr>
          <w:rFonts w:ascii="Calibri" w:eastAsia="Calibri" w:hAnsi="Calibri" w:cs="Calibri"/>
          <w:color w:val="000000"/>
          <w:sz w:val="20"/>
          <w:szCs w:val="20"/>
        </w:rPr>
        <w:t>(1), 49–60.</w:t>
      </w:r>
    </w:p>
    <w:p w14:paraId="3E8B5193" w14:textId="77777777" w:rsidR="005351A3" w:rsidRDefault="00BD1E6E">
      <w:pPr>
        <w:pBdr>
          <w:top w:val="nil"/>
          <w:left w:val="nil"/>
          <w:bottom w:val="nil"/>
          <w:right w:val="nil"/>
          <w:between w:val="nil"/>
        </w:pBdr>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Hillier, B., Penn, A., Hanson, J., Grajewski, T., &amp; Xu, J. (1993). Natural Movement: or configuration and attraction in urban pedestrian movement. </w:t>
      </w:r>
      <w:r>
        <w:rPr>
          <w:rFonts w:ascii="Calibri" w:eastAsia="Calibri" w:hAnsi="Calibri" w:cs="Calibri"/>
          <w:i/>
          <w:color w:val="000000"/>
          <w:sz w:val="20"/>
          <w:szCs w:val="20"/>
        </w:rPr>
        <w:t>Environment and Planning B: Planning and Design</w:t>
      </w:r>
      <w:r>
        <w:rPr>
          <w:rFonts w:ascii="Calibri" w:eastAsia="Calibri" w:hAnsi="Calibri" w:cs="Calibri"/>
          <w:color w:val="000000"/>
          <w:sz w:val="20"/>
          <w:szCs w:val="20"/>
        </w:rPr>
        <w:t xml:space="preserve">, </w:t>
      </w:r>
      <w:r>
        <w:rPr>
          <w:rFonts w:ascii="Calibri" w:eastAsia="Calibri" w:hAnsi="Calibri" w:cs="Calibri"/>
          <w:i/>
          <w:color w:val="000000"/>
          <w:sz w:val="20"/>
          <w:szCs w:val="20"/>
        </w:rPr>
        <w:t>20</w:t>
      </w:r>
      <w:r>
        <w:rPr>
          <w:rFonts w:ascii="Calibri" w:eastAsia="Calibri" w:hAnsi="Calibri" w:cs="Calibri"/>
          <w:color w:val="000000"/>
          <w:sz w:val="20"/>
          <w:szCs w:val="20"/>
        </w:rPr>
        <w:t>, 29–66.</w:t>
      </w:r>
    </w:p>
    <w:p w14:paraId="01C55C55" w14:textId="77777777" w:rsidR="005351A3" w:rsidRDefault="00BD1E6E">
      <w:pPr>
        <w:pBdr>
          <w:top w:val="nil"/>
          <w:left w:val="nil"/>
          <w:bottom w:val="nil"/>
          <w:right w:val="nil"/>
          <w:between w:val="nil"/>
        </w:pBdr>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Hillier, B., &amp; </w:t>
      </w:r>
      <w:proofErr w:type="spellStart"/>
      <w:r>
        <w:rPr>
          <w:rFonts w:ascii="Calibri" w:eastAsia="Calibri" w:hAnsi="Calibri" w:cs="Calibri"/>
          <w:color w:val="000000"/>
          <w:sz w:val="20"/>
          <w:szCs w:val="20"/>
        </w:rPr>
        <w:t>Stonor</w:t>
      </w:r>
      <w:proofErr w:type="spellEnd"/>
      <w:r>
        <w:rPr>
          <w:rFonts w:ascii="Calibri" w:eastAsia="Calibri" w:hAnsi="Calibri" w:cs="Calibri"/>
          <w:color w:val="000000"/>
          <w:sz w:val="20"/>
          <w:szCs w:val="20"/>
        </w:rPr>
        <w:t xml:space="preserve">, T. (2010). Space Syntax - Strategic Urban Design. </w:t>
      </w:r>
      <w:r>
        <w:rPr>
          <w:rFonts w:ascii="Calibri" w:eastAsia="Calibri" w:hAnsi="Calibri" w:cs="Calibri"/>
          <w:i/>
          <w:color w:val="000000"/>
          <w:sz w:val="20"/>
          <w:szCs w:val="20"/>
        </w:rPr>
        <w:t>City Planning Review, The City Planning Institute of Japan</w:t>
      </w:r>
      <w:r>
        <w:rPr>
          <w:rFonts w:ascii="Calibri" w:eastAsia="Calibri" w:hAnsi="Calibri" w:cs="Calibri"/>
          <w:color w:val="000000"/>
          <w:sz w:val="20"/>
          <w:szCs w:val="20"/>
        </w:rPr>
        <w:t xml:space="preserve">, </w:t>
      </w:r>
      <w:r>
        <w:rPr>
          <w:rFonts w:ascii="Calibri" w:eastAsia="Calibri" w:hAnsi="Calibri" w:cs="Calibri"/>
          <w:i/>
          <w:color w:val="000000"/>
          <w:sz w:val="20"/>
          <w:szCs w:val="20"/>
        </w:rPr>
        <w:t>59/no.3</w:t>
      </w:r>
      <w:r>
        <w:rPr>
          <w:rFonts w:ascii="Calibri" w:eastAsia="Calibri" w:hAnsi="Calibri" w:cs="Calibri"/>
          <w:color w:val="000000"/>
          <w:sz w:val="20"/>
          <w:szCs w:val="20"/>
        </w:rPr>
        <w:t>(285), 7–11.</w:t>
      </w:r>
    </w:p>
    <w:p w14:paraId="0B73D9E3" w14:textId="77777777" w:rsidR="005351A3" w:rsidRDefault="00BD1E6E">
      <w:pPr>
        <w:pBdr>
          <w:top w:val="nil"/>
          <w:left w:val="nil"/>
          <w:bottom w:val="nil"/>
          <w:right w:val="nil"/>
          <w:between w:val="nil"/>
        </w:pBdr>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Hillier, B., Yang, T., &amp; Turner, A. (2012, January). Advancing </w:t>
      </w:r>
      <w:proofErr w:type="spellStart"/>
      <w:r>
        <w:rPr>
          <w:rFonts w:ascii="Calibri" w:eastAsia="Calibri" w:hAnsi="Calibri" w:cs="Calibri"/>
          <w:color w:val="000000"/>
          <w:sz w:val="20"/>
          <w:szCs w:val="20"/>
        </w:rPr>
        <w:t>DepthMap</w:t>
      </w:r>
      <w:proofErr w:type="spellEnd"/>
      <w:r>
        <w:rPr>
          <w:rFonts w:ascii="Calibri" w:eastAsia="Calibri" w:hAnsi="Calibri" w:cs="Calibri"/>
          <w:color w:val="000000"/>
          <w:sz w:val="20"/>
          <w:szCs w:val="20"/>
        </w:rPr>
        <w:t xml:space="preserve"> to advance our understanding of cities: comparing streets and cities and streets with cities [Proceedings paper]. Retrieved February 9, 2015, from http://www.sss8.cl/proceedings/</w:t>
      </w:r>
    </w:p>
    <w:p w14:paraId="767A84FF" w14:textId="77777777" w:rsidR="005351A3" w:rsidRDefault="00BD1E6E">
      <w:pPr>
        <w:pBdr>
          <w:top w:val="nil"/>
          <w:left w:val="nil"/>
          <w:bottom w:val="nil"/>
          <w:right w:val="nil"/>
          <w:between w:val="nil"/>
        </w:pBdr>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Karimi, K. (2009). New Towns of England in Transition: reshaping through understanding the reasons for failure. In </w:t>
      </w:r>
      <w:r>
        <w:rPr>
          <w:rFonts w:ascii="Calibri" w:eastAsia="Calibri" w:hAnsi="Calibri" w:cs="Calibri"/>
          <w:i/>
          <w:color w:val="000000"/>
          <w:sz w:val="20"/>
          <w:szCs w:val="20"/>
        </w:rPr>
        <w:t>Model Town: Using Urban Simulation in New Town Planning</w:t>
      </w:r>
      <w:r>
        <w:rPr>
          <w:rFonts w:ascii="Calibri" w:eastAsia="Calibri" w:hAnsi="Calibri" w:cs="Calibri"/>
          <w:color w:val="000000"/>
          <w:sz w:val="20"/>
          <w:szCs w:val="20"/>
        </w:rPr>
        <w:t>. Almere, Netherlands: International New Towns Institute.</w:t>
      </w:r>
    </w:p>
    <w:p w14:paraId="554D2FEC" w14:textId="77777777" w:rsidR="005351A3" w:rsidRDefault="00BD1E6E">
      <w:pPr>
        <w:pBdr>
          <w:top w:val="nil"/>
          <w:left w:val="nil"/>
          <w:bottom w:val="nil"/>
          <w:right w:val="nil"/>
          <w:between w:val="nil"/>
        </w:pBdr>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Karimi, K. (2012). Evidence-informed and analytical methods in urban design. </w:t>
      </w:r>
      <w:r>
        <w:rPr>
          <w:rFonts w:ascii="Calibri" w:eastAsia="Calibri" w:hAnsi="Calibri" w:cs="Calibri"/>
          <w:i/>
          <w:color w:val="000000"/>
          <w:sz w:val="20"/>
          <w:szCs w:val="20"/>
        </w:rPr>
        <w:t>Urban Design International</w:t>
      </w:r>
      <w:r>
        <w:rPr>
          <w:rFonts w:ascii="Calibri" w:eastAsia="Calibri" w:hAnsi="Calibri" w:cs="Calibri"/>
          <w:color w:val="000000"/>
          <w:sz w:val="20"/>
          <w:szCs w:val="20"/>
        </w:rPr>
        <w:t xml:space="preserve">, </w:t>
      </w:r>
      <w:r>
        <w:rPr>
          <w:rFonts w:ascii="Calibri" w:eastAsia="Calibri" w:hAnsi="Calibri" w:cs="Calibri"/>
          <w:i/>
          <w:color w:val="000000"/>
          <w:sz w:val="20"/>
          <w:szCs w:val="20"/>
        </w:rPr>
        <w:t>17</w:t>
      </w:r>
      <w:r>
        <w:rPr>
          <w:rFonts w:ascii="Calibri" w:eastAsia="Calibri" w:hAnsi="Calibri" w:cs="Calibri"/>
          <w:color w:val="000000"/>
          <w:sz w:val="20"/>
          <w:szCs w:val="20"/>
        </w:rPr>
        <w:t>(4), 253–256. doi:10.1057/udi.2012.24</w:t>
      </w:r>
    </w:p>
    <w:p w14:paraId="0D34670D" w14:textId="77777777" w:rsidR="005351A3" w:rsidRDefault="00BD1E6E">
      <w:pPr>
        <w:pBdr>
          <w:top w:val="nil"/>
          <w:left w:val="nil"/>
          <w:bottom w:val="nil"/>
          <w:right w:val="nil"/>
          <w:between w:val="nil"/>
        </w:pBdr>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Karimi, K., &amp; Parham, E. (2012). An evidence informed approach to developing an adaptable regeneration programme for declining informal settlements. In </w:t>
      </w:r>
      <w:r>
        <w:rPr>
          <w:rFonts w:ascii="Calibri" w:eastAsia="Calibri" w:hAnsi="Calibri" w:cs="Calibri"/>
          <w:i/>
          <w:color w:val="000000"/>
          <w:sz w:val="20"/>
          <w:szCs w:val="20"/>
        </w:rPr>
        <w:t>Eighth International Space Syntax Symposium</w:t>
      </w:r>
      <w:r>
        <w:rPr>
          <w:rFonts w:ascii="Calibri" w:eastAsia="Calibri" w:hAnsi="Calibri" w:cs="Calibri"/>
          <w:color w:val="000000"/>
          <w:sz w:val="20"/>
          <w:szCs w:val="20"/>
        </w:rPr>
        <w:t>. Santiago, Chile.</w:t>
      </w:r>
    </w:p>
    <w:p w14:paraId="2E6209EF" w14:textId="77777777" w:rsidR="005351A3" w:rsidRDefault="00BD1E6E">
      <w:pPr>
        <w:pBdr>
          <w:top w:val="nil"/>
          <w:left w:val="nil"/>
          <w:bottom w:val="nil"/>
          <w:right w:val="nil"/>
          <w:between w:val="nil"/>
        </w:pBdr>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Karimi, K., Parham, E., </w:t>
      </w:r>
      <w:proofErr w:type="spellStart"/>
      <w:r>
        <w:rPr>
          <w:rFonts w:ascii="Calibri" w:eastAsia="Calibri" w:hAnsi="Calibri" w:cs="Calibri"/>
          <w:color w:val="000000"/>
          <w:sz w:val="20"/>
          <w:szCs w:val="20"/>
        </w:rPr>
        <w:t>Fridrisch</w:t>
      </w:r>
      <w:proofErr w:type="spellEnd"/>
      <w:r>
        <w:rPr>
          <w:rFonts w:ascii="Calibri" w:eastAsia="Calibri" w:hAnsi="Calibri" w:cs="Calibri"/>
          <w:color w:val="000000"/>
          <w:sz w:val="20"/>
          <w:szCs w:val="20"/>
        </w:rPr>
        <w:t xml:space="preserve">, E., &amp; Ferguson, P. (2013). Origin-destination weighted choice model as a new tool for assessing the impact of new urban developments’. In </w:t>
      </w:r>
      <w:r>
        <w:rPr>
          <w:rFonts w:ascii="Calibri" w:eastAsia="Calibri" w:hAnsi="Calibri" w:cs="Calibri"/>
          <w:i/>
          <w:color w:val="000000"/>
          <w:sz w:val="20"/>
          <w:szCs w:val="20"/>
        </w:rPr>
        <w:t>Proceedings of the Ninth International Space Syntax Symposium</w:t>
      </w:r>
      <w:r>
        <w:rPr>
          <w:rFonts w:ascii="Calibri" w:eastAsia="Calibri" w:hAnsi="Calibri" w:cs="Calibri"/>
          <w:color w:val="000000"/>
          <w:sz w:val="20"/>
          <w:szCs w:val="20"/>
        </w:rPr>
        <w:t>.</w:t>
      </w:r>
    </w:p>
    <w:p w14:paraId="0223CFBF" w14:textId="77777777" w:rsidR="005351A3" w:rsidRDefault="00BD1E6E">
      <w:pPr>
        <w:pBdr>
          <w:top w:val="nil"/>
          <w:left w:val="nil"/>
          <w:bottom w:val="nil"/>
          <w:right w:val="nil"/>
          <w:between w:val="nil"/>
        </w:pBdr>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Penn, A. (2008). Architectural Research. In A. Knight &amp; L. Ruddock (Eds.), </w:t>
      </w:r>
      <w:r>
        <w:rPr>
          <w:rFonts w:ascii="Calibri" w:eastAsia="Calibri" w:hAnsi="Calibri" w:cs="Calibri"/>
          <w:i/>
          <w:color w:val="000000"/>
          <w:sz w:val="20"/>
          <w:szCs w:val="20"/>
        </w:rPr>
        <w:t>Advanced Research Methods in the Built Environment</w:t>
      </w:r>
      <w:r>
        <w:rPr>
          <w:rFonts w:ascii="Calibri" w:eastAsia="Calibri" w:hAnsi="Calibri" w:cs="Calibri"/>
          <w:color w:val="000000"/>
          <w:sz w:val="20"/>
          <w:szCs w:val="20"/>
        </w:rPr>
        <w:t xml:space="preserve"> (pp. 14–27). Wiley-Blackwell.</w:t>
      </w:r>
    </w:p>
    <w:p w14:paraId="32E59586" w14:textId="77777777" w:rsidR="005351A3" w:rsidRDefault="00BD1E6E">
      <w:pPr>
        <w:pBdr>
          <w:top w:val="nil"/>
          <w:left w:val="nil"/>
          <w:bottom w:val="nil"/>
          <w:right w:val="nil"/>
          <w:between w:val="nil"/>
        </w:pBdr>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Penn, A., Hillier, B., Banister, D., &amp; Xu, J. (1998). Configurational modelling of urban movement networks. </w:t>
      </w:r>
      <w:r>
        <w:rPr>
          <w:rFonts w:ascii="Calibri" w:eastAsia="Calibri" w:hAnsi="Calibri" w:cs="Calibri"/>
          <w:i/>
          <w:color w:val="000000"/>
          <w:sz w:val="20"/>
          <w:szCs w:val="20"/>
        </w:rPr>
        <w:t>Environment and Planning B: Planning and Design</w:t>
      </w:r>
      <w:r>
        <w:rPr>
          <w:rFonts w:ascii="Calibri" w:eastAsia="Calibri" w:hAnsi="Calibri" w:cs="Calibri"/>
          <w:color w:val="000000"/>
          <w:sz w:val="20"/>
          <w:szCs w:val="20"/>
        </w:rPr>
        <w:t xml:space="preserve">, </w:t>
      </w:r>
      <w:r>
        <w:rPr>
          <w:rFonts w:ascii="Calibri" w:eastAsia="Calibri" w:hAnsi="Calibri" w:cs="Calibri"/>
          <w:i/>
          <w:color w:val="000000"/>
          <w:sz w:val="20"/>
          <w:szCs w:val="20"/>
        </w:rPr>
        <w:t>25</w:t>
      </w:r>
      <w:r>
        <w:rPr>
          <w:rFonts w:ascii="Calibri" w:eastAsia="Calibri" w:hAnsi="Calibri" w:cs="Calibri"/>
          <w:color w:val="000000"/>
          <w:sz w:val="20"/>
          <w:szCs w:val="20"/>
        </w:rPr>
        <w:t>(1), 59–84.</w:t>
      </w:r>
    </w:p>
    <w:p w14:paraId="2CA605EF" w14:textId="77777777" w:rsidR="005351A3" w:rsidRDefault="00BD1E6E">
      <w:pPr>
        <w:pBdr>
          <w:top w:val="nil"/>
          <w:left w:val="nil"/>
          <w:bottom w:val="nil"/>
          <w:right w:val="nil"/>
          <w:between w:val="nil"/>
        </w:pBdr>
        <w:ind w:left="567" w:hanging="567"/>
        <w:jc w:val="both"/>
        <w:rPr>
          <w:rFonts w:ascii="Calibri" w:eastAsia="Calibri" w:hAnsi="Calibri" w:cs="Calibri"/>
          <w:color w:val="000000"/>
          <w:sz w:val="20"/>
          <w:szCs w:val="20"/>
        </w:rPr>
      </w:pPr>
      <w:r>
        <w:rPr>
          <w:rFonts w:ascii="Calibri" w:eastAsia="Calibri" w:hAnsi="Calibri" w:cs="Calibri"/>
          <w:color w:val="000000"/>
          <w:sz w:val="20"/>
          <w:szCs w:val="20"/>
        </w:rPr>
        <w:t xml:space="preserve">Space Syntax Limited. (2006). </w:t>
      </w:r>
      <w:r>
        <w:rPr>
          <w:rFonts w:ascii="Calibri" w:eastAsia="Calibri" w:hAnsi="Calibri" w:cs="Calibri"/>
          <w:i/>
          <w:color w:val="000000"/>
          <w:sz w:val="20"/>
          <w:szCs w:val="20"/>
        </w:rPr>
        <w:t>Jeddah Strategic Planning Framework</w:t>
      </w:r>
      <w:r>
        <w:rPr>
          <w:rFonts w:ascii="Calibri" w:eastAsia="Calibri" w:hAnsi="Calibri" w:cs="Calibri"/>
          <w:color w:val="000000"/>
          <w:sz w:val="20"/>
          <w:szCs w:val="20"/>
        </w:rPr>
        <w:t>.</w:t>
      </w:r>
    </w:p>
    <w:p w14:paraId="783E5A8B" w14:textId="77777777" w:rsidR="005351A3" w:rsidRDefault="005351A3">
      <w:pPr>
        <w:ind w:left="567" w:hanging="567"/>
        <w:jc w:val="both"/>
        <w:rPr>
          <w:rFonts w:ascii="Calibri" w:eastAsia="Calibri" w:hAnsi="Calibri" w:cs="Calibri"/>
          <w:sz w:val="20"/>
          <w:szCs w:val="20"/>
        </w:rPr>
      </w:pPr>
    </w:p>
    <w:sectPr w:rsidR="005351A3">
      <w:headerReference w:type="default" r:id="rId12"/>
      <w:footerReference w:type="even" r:id="rId13"/>
      <w:footerReference w:type="default" r:id="rId14"/>
      <w:pgSz w:w="11900" w:h="16840"/>
      <w:pgMar w:top="1276" w:right="1418" w:bottom="1701" w:left="2268"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8A288" w14:textId="77777777" w:rsidR="009F0F66" w:rsidRDefault="009F0F66">
      <w:r>
        <w:separator/>
      </w:r>
    </w:p>
  </w:endnote>
  <w:endnote w:type="continuationSeparator" w:id="0">
    <w:p w14:paraId="7357EE12" w14:textId="77777777" w:rsidR="009F0F66" w:rsidRDefault="009F0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Avenir">
    <w:panose1 w:val="02000503020000020003"/>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B887C" w14:textId="77777777" w:rsidR="005351A3" w:rsidRDefault="00BD1E6E">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381FBC36" w14:textId="77777777" w:rsidR="005351A3" w:rsidRDefault="005351A3">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BB208" w14:textId="77777777" w:rsidR="005351A3" w:rsidRDefault="00BD1E6E">
    <w:pPr>
      <w:pBdr>
        <w:top w:val="nil"/>
        <w:left w:val="nil"/>
        <w:bottom w:val="nil"/>
        <w:right w:val="nil"/>
        <w:between w:val="nil"/>
      </w:pBdr>
      <w:tabs>
        <w:tab w:val="center" w:pos="4320"/>
        <w:tab w:val="right" w:pos="8640"/>
      </w:tabs>
      <w:jc w:val="right"/>
      <w:rPr>
        <w:rFonts w:ascii="Calibri" w:eastAsia="Calibri" w:hAnsi="Calibri" w:cs="Calibri"/>
        <w:color w:val="7F7F7F"/>
        <w:sz w:val="18"/>
        <w:szCs w:val="18"/>
      </w:rPr>
    </w:pPr>
    <w:r>
      <w:rPr>
        <w:rFonts w:ascii="Calibri" w:eastAsia="Calibri" w:hAnsi="Calibri" w:cs="Calibri"/>
        <w:color w:val="7F7F7F"/>
        <w:sz w:val="18"/>
        <w:szCs w:val="18"/>
      </w:rPr>
      <w:fldChar w:fldCharType="begin"/>
    </w:r>
    <w:r>
      <w:rPr>
        <w:rFonts w:ascii="Calibri" w:eastAsia="Calibri" w:hAnsi="Calibri" w:cs="Calibri"/>
        <w:color w:val="7F7F7F"/>
        <w:sz w:val="18"/>
        <w:szCs w:val="18"/>
      </w:rPr>
      <w:instrText>PAGE</w:instrText>
    </w:r>
    <w:r>
      <w:rPr>
        <w:rFonts w:ascii="Calibri" w:eastAsia="Calibri" w:hAnsi="Calibri" w:cs="Calibri"/>
        <w:color w:val="7F7F7F"/>
        <w:sz w:val="18"/>
        <w:szCs w:val="18"/>
      </w:rPr>
      <w:fldChar w:fldCharType="separate"/>
    </w:r>
    <w:r w:rsidR="00C146F9">
      <w:rPr>
        <w:rFonts w:ascii="Calibri" w:eastAsia="Calibri" w:hAnsi="Calibri" w:cs="Calibri"/>
        <w:noProof/>
        <w:color w:val="7F7F7F"/>
        <w:sz w:val="18"/>
        <w:szCs w:val="18"/>
      </w:rPr>
      <w:t>3</w:t>
    </w:r>
    <w:r>
      <w:rPr>
        <w:rFonts w:ascii="Calibri" w:eastAsia="Calibri" w:hAnsi="Calibri" w:cs="Calibri"/>
        <w:color w:val="7F7F7F"/>
        <w:sz w:val="18"/>
        <w:szCs w:val="18"/>
      </w:rPr>
      <w:fldChar w:fldCharType="end"/>
    </w:r>
  </w:p>
  <w:tbl>
    <w:tblPr>
      <w:tblStyle w:val="a0"/>
      <w:tblW w:w="8222" w:type="dxa"/>
      <w:tblBorders>
        <w:top w:val="single" w:sz="4" w:space="0" w:color="B02A22"/>
        <w:left w:val="nil"/>
        <w:bottom w:val="nil"/>
        <w:right w:val="nil"/>
        <w:insideH w:val="nil"/>
        <w:insideV w:val="nil"/>
      </w:tblBorders>
      <w:tblLayout w:type="fixed"/>
      <w:tblLook w:val="0400" w:firstRow="0" w:lastRow="0" w:firstColumn="0" w:lastColumn="0" w:noHBand="0" w:noVBand="1"/>
    </w:tblPr>
    <w:tblGrid>
      <w:gridCol w:w="7371"/>
      <w:gridCol w:w="851"/>
    </w:tblGrid>
    <w:tr w:rsidR="005351A3" w14:paraId="57834373" w14:textId="77777777">
      <w:tc>
        <w:tcPr>
          <w:tcW w:w="7371" w:type="dxa"/>
          <w:tcBorders>
            <w:top w:val="single" w:sz="4" w:space="0" w:color="000000"/>
          </w:tcBorders>
        </w:tcPr>
        <w:p w14:paraId="7D19B624" w14:textId="77777777" w:rsidR="005351A3" w:rsidRDefault="00BD1E6E">
          <w:pPr>
            <w:ind w:left="-108" w:right="357"/>
            <w:rPr>
              <w:rFonts w:ascii="Calibri" w:eastAsia="Calibri" w:hAnsi="Calibri" w:cs="Calibri"/>
              <w:color w:val="7F7F7F"/>
              <w:sz w:val="17"/>
              <w:szCs w:val="17"/>
            </w:rPr>
          </w:pPr>
          <w:r>
            <w:rPr>
              <w:rFonts w:ascii="Calibri" w:eastAsia="Calibri" w:hAnsi="Calibri" w:cs="Calibri"/>
              <w:color w:val="7F7F7F"/>
              <w:sz w:val="17"/>
              <w:szCs w:val="17"/>
            </w:rPr>
            <w:t>xxx: K Karimi, E Parham &amp; A Acharya</w:t>
          </w:r>
        </w:p>
        <w:p w14:paraId="5E6D9017" w14:textId="77777777" w:rsidR="005351A3" w:rsidRDefault="00BD1E6E">
          <w:pPr>
            <w:ind w:left="-108" w:right="357"/>
            <w:rPr>
              <w:rFonts w:ascii="Calibri" w:eastAsia="Calibri" w:hAnsi="Calibri" w:cs="Calibri"/>
              <w:color w:val="7F7F7F"/>
              <w:sz w:val="18"/>
              <w:szCs w:val="18"/>
            </w:rPr>
          </w:pPr>
          <w:r>
            <w:rPr>
              <w:rFonts w:ascii="Calibri" w:eastAsia="Calibri" w:hAnsi="Calibri" w:cs="Calibri"/>
              <w:color w:val="7F7F7F"/>
              <w:sz w:val="17"/>
              <w:szCs w:val="17"/>
            </w:rPr>
            <w:t>Integrated sub-regional planning informed by weighted spatial network models: The case of Jeddah sub-regional system</w:t>
          </w:r>
        </w:p>
      </w:tc>
      <w:tc>
        <w:tcPr>
          <w:tcW w:w="851" w:type="dxa"/>
          <w:tcBorders>
            <w:top w:val="single" w:sz="4" w:space="0" w:color="000000"/>
          </w:tcBorders>
        </w:tcPr>
        <w:p w14:paraId="2C3DBCDD" w14:textId="77777777" w:rsidR="005351A3" w:rsidRDefault="005351A3">
          <w:pPr>
            <w:spacing w:after="20"/>
            <w:ind w:right="360"/>
            <w:rPr>
              <w:rFonts w:ascii="Calibri" w:eastAsia="Calibri" w:hAnsi="Calibri" w:cs="Calibri"/>
              <w:color w:val="7F7F7F"/>
              <w:sz w:val="18"/>
              <w:szCs w:val="18"/>
            </w:rPr>
          </w:pPr>
        </w:p>
      </w:tc>
    </w:tr>
  </w:tbl>
  <w:p w14:paraId="61BF7276" w14:textId="77777777" w:rsidR="005351A3" w:rsidRDefault="005351A3">
    <w:pPr>
      <w:spacing w:after="20"/>
      <w:rPr>
        <w:color w:val="7F7F7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D0F0F" w14:textId="77777777" w:rsidR="009F0F66" w:rsidRDefault="009F0F66">
      <w:r>
        <w:separator/>
      </w:r>
    </w:p>
  </w:footnote>
  <w:footnote w:type="continuationSeparator" w:id="0">
    <w:p w14:paraId="5F980548" w14:textId="77777777" w:rsidR="009F0F66" w:rsidRDefault="009F0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E098A" w14:textId="77777777" w:rsidR="00C146F9" w:rsidRDefault="009F0F66" w:rsidP="00C146F9">
    <w:pPr>
      <w:spacing w:after="20"/>
      <w:rPr>
        <w:rFonts w:ascii="Avenir" w:eastAsia="Avenir" w:hAnsi="Avenir" w:cs="Avenir"/>
        <w:color w:val="FF0000"/>
        <w:sz w:val="19"/>
        <w:szCs w:val="19"/>
        <w:vertAlign w:val="superscript"/>
      </w:rPr>
    </w:pPr>
    <w:r>
      <w:rPr>
        <w:rFonts w:ascii="Avenir" w:eastAsia="Avenir" w:hAnsi="Avenir" w:cs="Avenir"/>
        <w:noProof/>
        <w:color w:val="FF0000"/>
        <w:sz w:val="19"/>
        <w:szCs w:val="19"/>
        <w:vertAlign w:val="superscript"/>
      </w:rPr>
      <w:pict w14:anchorId="3B403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8.3pt;height:28.8pt;mso-width-percent:0;mso-height-percent:0;mso-width-percent:0;mso-height-percent:0">
          <v:imagedata r:id="rId1" o:title="317010648_5587089551326769_1142250305869951530_n" cropbottom="20852f" cropleft="3486f"/>
        </v:shape>
      </w:pict>
    </w:r>
  </w:p>
  <w:p w14:paraId="57C0C2A1" w14:textId="77777777" w:rsidR="005351A3" w:rsidRPr="00C146F9" w:rsidRDefault="00BD1E6E" w:rsidP="00C146F9">
    <w:pPr>
      <w:spacing w:after="20"/>
      <w:rPr>
        <w:rFonts w:ascii="Avenir" w:eastAsia="Avenir" w:hAnsi="Avenir" w:cs="Avenir"/>
        <w:color w:val="FF0000"/>
        <w:sz w:val="15"/>
        <w:szCs w:val="19"/>
        <w:vertAlign w:val="superscript"/>
      </w:rPr>
    </w:pPr>
    <w:r w:rsidRPr="00C146F9">
      <w:rPr>
        <w:rFonts w:ascii="Calibri" w:eastAsia="Calibri" w:hAnsi="Calibri" w:cs="Calibri"/>
        <w:color w:val="7F7F7F"/>
        <w:sz w:val="14"/>
        <w:szCs w:val="18"/>
      </w:rPr>
      <w:t>Proceedings of the 2</w:t>
    </w:r>
    <w:r w:rsidRPr="00C146F9">
      <w:rPr>
        <w:rFonts w:ascii="Calibri" w:eastAsia="Calibri" w:hAnsi="Calibri" w:cs="Calibri"/>
        <w:color w:val="7F7F7F"/>
        <w:sz w:val="14"/>
        <w:szCs w:val="18"/>
        <w:vertAlign w:val="superscript"/>
      </w:rPr>
      <w:t>nd</w:t>
    </w:r>
    <w:r w:rsidRPr="00C146F9">
      <w:rPr>
        <w:rFonts w:ascii="Calibri" w:eastAsia="Calibri" w:hAnsi="Calibri" w:cs="Calibri"/>
        <w:color w:val="7F7F7F"/>
        <w:sz w:val="14"/>
        <w:szCs w:val="18"/>
      </w:rPr>
      <w:t xml:space="preserve"> International Space Syntax PhD Conference</w:t>
    </w:r>
  </w:p>
  <w:p w14:paraId="18F78FFB" w14:textId="77777777" w:rsidR="005351A3" w:rsidRDefault="005351A3">
    <w:pPr>
      <w:spacing w:after="20"/>
      <w:rPr>
        <w:color w:val="FF0000"/>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1A3"/>
    <w:rsid w:val="004D1DD2"/>
    <w:rsid w:val="005351A3"/>
    <w:rsid w:val="009F0F66"/>
    <w:rsid w:val="00BD1E6E"/>
    <w:rsid w:val="00C146F9"/>
    <w:rsid w:val="00C419BF"/>
    <w:rsid w:val="00C62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9CE4F3"/>
  <w15:docId w15:val="{1686D3E8-6C62-4DD3-8C06-F5F9E8AE0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F7D"/>
    <w:rPr>
      <w:lang w:val="en-GB"/>
    </w:rPr>
  </w:style>
  <w:style w:type="paragraph" w:styleId="Heading1">
    <w:name w:val="heading 1"/>
    <w:basedOn w:val="NormalWeb"/>
    <w:next w:val="Normal"/>
    <w:link w:val="Heading1Char"/>
    <w:uiPriority w:val="9"/>
    <w:qFormat/>
    <w:rsid w:val="00497EB2"/>
    <w:pPr>
      <w:shd w:val="clear" w:color="auto" w:fill="FFFFFF"/>
      <w:spacing w:before="480" w:beforeAutospacing="0" w:after="120" w:afterAutospacing="0"/>
      <w:outlineLvl w:val="0"/>
    </w:pPr>
    <w:rPr>
      <w:rFonts w:ascii="Calibri" w:hAnsi="Calibri" w:cs="Arial"/>
      <w:b/>
      <w:sz w:val="20"/>
      <w:szCs w:val="20"/>
    </w:rPr>
  </w:style>
  <w:style w:type="paragraph" w:styleId="Heading2">
    <w:name w:val="heading 2"/>
    <w:basedOn w:val="Normal"/>
    <w:next w:val="Normal"/>
    <w:link w:val="Heading2Char"/>
    <w:uiPriority w:val="9"/>
    <w:unhideWhenUsed/>
    <w:qFormat/>
    <w:rsid w:val="00B72EBC"/>
    <w:pPr>
      <w:keepNext/>
      <w:keepLines/>
      <w:spacing w:before="200"/>
      <w:outlineLvl w:val="1"/>
    </w:pPr>
    <w:rPr>
      <w:rFonts w:ascii="Calibri" w:eastAsiaTheme="majorEastAsia" w:hAnsi="Calibri" w:cstheme="majorBidi"/>
      <w:bCs/>
      <w:i/>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497EB2"/>
    <w:rPr>
      <w:rFonts w:ascii="Calibri" w:eastAsia="Times New Roman" w:hAnsi="Calibri" w:cs="Arial"/>
      <w:b/>
      <w:sz w:val="20"/>
      <w:szCs w:val="20"/>
      <w:shd w:val="clear" w:color="auto" w:fill="FFFFFF"/>
      <w:lang w:val="en-GB" w:eastAsia="en-GB"/>
    </w:rPr>
  </w:style>
  <w:style w:type="character" w:customStyle="1" w:styleId="Heading2Char">
    <w:name w:val="Heading 2 Char"/>
    <w:basedOn w:val="DefaultParagraphFont"/>
    <w:link w:val="Heading2"/>
    <w:uiPriority w:val="9"/>
    <w:rsid w:val="00B72EBC"/>
    <w:rPr>
      <w:rFonts w:ascii="Calibri" w:eastAsiaTheme="majorEastAsia" w:hAnsi="Calibri" w:cstheme="majorBidi"/>
      <w:bCs/>
      <w:i/>
      <w:szCs w:val="26"/>
      <w:lang w:val="en-GB"/>
    </w:rPr>
  </w:style>
  <w:style w:type="paragraph" w:styleId="Footer">
    <w:name w:val="footer"/>
    <w:basedOn w:val="Normal"/>
    <w:link w:val="FooterChar"/>
    <w:uiPriority w:val="99"/>
    <w:unhideWhenUsed/>
    <w:rsid w:val="005151B0"/>
    <w:pPr>
      <w:tabs>
        <w:tab w:val="center" w:pos="4320"/>
        <w:tab w:val="right" w:pos="8640"/>
      </w:tabs>
    </w:pPr>
  </w:style>
  <w:style w:type="character" w:customStyle="1" w:styleId="FooterChar">
    <w:name w:val="Footer Char"/>
    <w:basedOn w:val="DefaultParagraphFont"/>
    <w:link w:val="Footer"/>
    <w:uiPriority w:val="99"/>
    <w:rsid w:val="005151B0"/>
    <w:rPr>
      <w:rFonts w:ascii="Arial" w:hAnsi="Arial"/>
      <w:lang w:val="en-GB"/>
    </w:rPr>
  </w:style>
  <w:style w:type="character" w:styleId="PageNumber">
    <w:name w:val="page number"/>
    <w:basedOn w:val="DefaultParagraphFont"/>
    <w:uiPriority w:val="99"/>
    <w:semiHidden/>
    <w:unhideWhenUsed/>
    <w:rsid w:val="005151B0"/>
  </w:style>
  <w:style w:type="paragraph" w:styleId="Header">
    <w:name w:val="header"/>
    <w:basedOn w:val="Normal"/>
    <w:link w:val="HeaderChar"/>
    <w:uiPriority w:val="99"/>
    <w:unhideWhenUsed/>
    <w:rsid w:val="005151B0"/>
    <w:pPr>
      <w:tabs>
        <w:tab w:val="center" w:pos="4320"/>
        <w:tab w:val="right" w:pos="8640"/>
      </w:tabs>
    </w:pPr>
  </w:style>
  <w:style w:type="character" w:customStyle="1" w:styleId="HeaderChar">
    <w:name w:val="Header Char"/>
    <w:basedOn w:val="DefaultParagraphFont"/>
    <w:link w:val="Header"/>
    <w:uiPriority w:val="99"/>
    <w:rsid w:val="005151B0"/>
    <w:rPr>
      <w:rFonts w:ascii="Arial" w:hAnsi="Arial"/>
      <w:lang w:val="en-GB"/>
    </w:rPr>
  </w:style>
  <w:style w:type="character" w:styleId="Hyperlink">
    <w:name w:val="Hyperlink"/>
    <w:basedOn w:val="DefaultParagraphFont"/>
    <w:uiPriority w:val="99"/>
    <w:unhideWhenUsed/>
    <w:rsid w:val="00D56F4B"/>
    <w:rPr>
      <w:color w:val="0000FF" w:themeColor="hyperlink"/>
      <w:u w:val="single"/>
    </w:rPr>
  </w:style>
  <w:style w:type="paragraph" w:styleId="FootnoteText">
    <w:name w:val="footnote text"/>
    <w:basedOn w:val="Normal"/>
    <w:link w:val="FootnoteTextChar"/>
    <w:uiPriority w:val="99"/>
    <w:unhideWhenUsed/>
    <w:rsid w:val="00F5472B"/>
    <w:rPr>
      <w:rFonts w:asciiTheme="minorHAnsi" w:hAnsiTheme="minorHAnsi"/>
      <w:lang w:eastAsia="en-GB"/>
    </w:rPr>
  </w:style>
  <w:style w:type="character" w:customStyle="1" w:styleId="FootnoteTextChar">
    <w:name w:val="Footnote Text Char"/>
    <w:basedOn w:val="DefaultParagraphFont"/>
    <w:link w:val="FootnoteText"/>
    <w:uiPriority w:val="99"/>
    <w:rsid w:val="00F5472B"/>
    <w:rPr>
      <w:lang w:val="en-GB" w:eastAsia="en-GB"/>
    </w:rPr>
  </w:style>
  <w:style w:type="character" w:styleId="FootnoteReference">
    <w:name w:val="footnote reference"/>
    <w:basedOn w:val="DefaultParagraphFont"/>
    <w:uiPriority w:val="99"/>
    <w:unhideWhenUsed/>
    <w:rsid w:val="00F5472B"/>
    <w:rPr>
      <w:vertAlign w:val="superscript"/>
    </w:rPr>
  </w:style>
  <w:style w:type="character" w:styleId="FollowedHyperlink">
    <w:name w:val="FollowedHyperlink"/>
    <w:basedOn w:val="DefaultParagraphFont"/>
    <w:uiPriority w:val="99"/>
    <w:semiHidden/>
    <w:unhideWhenUsed/>
    <w:rsid w:val="003D2C27"/>
    <w:rPr>
      <w:color w:val="800080" w:themeColor="followedHyperlink"/>
      <w:u w:val="single"/>
    </w:rPr>
  </w:style>
  <w:style w:type="paragraph" w:styleId="ListParagraph">
    <w:name w:val="List Paragraph"/>
    <w:basedOn w:val="Normal"/>
    <w:uiPriority w:val="34"/>
    <w:qFormat/>
    <w:rsid w:val="00282121"/>
    <w:pPr>
      <w:ind w:left="720"/>
      <w:contextualSpacing/>
    </w:pPr>
  </w:style>
  <w:style w:type="paragraph" w:styleId="BalloonText">
    <w:name w:val="Balloon Text"/>
    <w:basedOn w:val="Normal"/>
    <w:link w:val="BalloonTextChar"/>
    <w:uiPriority w:val="99"/>
    <w:semiHidden/>
    <w:unhideWhenUsed/>
    <w:rsid w:val="005E34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34D3"/>
    <w:rPr>
      <w:rFonts w:ascii="Lucida Grande" w:hAnsi="Lucida Grande" w:cs="Lucida Grande"/>
      <w:sz w:val="18"/>
      <w:szCs w:val="18"/>
      <w:lang w:val="en-GB"/>
    </w:rPr>
  </w:style>
  <w:style w:type="table" w:styleId="TableGrid">
    <w:name w:val="Table Grid"/>
    <w:basedOn w:val="TableNormal"/>
    <w:uiPriority w:val="59"/>
    <w:rsid w:val="00F444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E66097"/>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uiPriority w:val="1"/>
    <w:qFormat/>
    <w:rsid w:val="001E7F7D"/>
    <w:rPr>
      <w:rFonts w:ascii="Calibri" w:hAnsi="Calibri"/>
      <w:lang w:val="en-GB"/>
    </w:rPr>
  </w:style>
  <w:style w:type="paragraph" w:styleId="NormalWeb">
    <w:name w:val="Normal (Web)"/>
    <w:basedOn w:val="Normal"/>
    <w:uiPriority w:val="99"/>
    <w:unhideWhenUsed/>
    <w:rsid w:val="00D623B6"/>
    <w:pPr>
      <w:spacing w:before="100" w:beforeAutospacing="1" w:after="100" w:afterAutospacing="1"/>
    </w:pPr>
    <w:rPr>
      <w:rFonts w:ascii="Times New Roman" w:eastAsia="Times New Roman" w:hAnsi="Times New Roman" w:cs="Times New Roman"/>
      <w:lang w:eastAsia="en-GB"/>
    </w:rPr>
  </w:style>
  <w:style w:type="paragraph" w:styleId="Bibliography">
    <w:name w:val="Bibliography"/>
    <w:basedOn w:val="Normal"/>
    <w:next w:val="Normal"/>
    <w:uiPriority w:val="37"/>
    <w:semiHidden/>
    <w:unhideWhenUsed/>
    <w:rsid w:val="00F44E1F"/>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color w:val="366091"/>
      <w:sz w:val="22"/>
      <w:szCs w:val="22"/>
    </w:rPr>
    <w:tblPr>
      <w:tblStyleRowBandSize w:val="1"/>
      <w:tblStyleColBandSize w:val="1"/>
    </w:tblPr>
  </w:style>
  <w:style w:type="table" w:customStyle="1" w:styleId="a0">
    <w:basedOn w:val="TableNormal"/>
    <w:rPr>
      <w:color w:val="366091"/>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parham@spacesyntax.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k.karimi@ucl.ac.uk"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mailto:a.acharya@spacesyntax.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3IUG1tlGmrw1XD835BhizbSB7Q==">AMUW2mUVfMgRm8HuWmNC0ytX/9/DSkxQROPkI2XD9dy0zsNp5QVFdopt2PT09bNUhedPE4Y+2UpYkIStJSY7IHmCaJAZ/brQQ1GgoLgqoCzZuNpRNh5Fe14=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1021</Words>
  <Characters>5820</Characters>
  <Application>Microsoft Office Word</Application>
  <DocSecurity>0</DocSecurity>
  <Lines>48</Lines>
  <Paragraphs>13</Paragraphs>
  <ScaleCrop>false</ScaleCrop>
  <Company/>
  <LinksUpToDate>false</LinksUpToDate>
  <CharactersWithSpaces>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Garyfalia Palaiologou</dc:creator>
  <cp:lastModifiedBy>Nadia Charalambous</cp:lastModifiedBy>
  <cp:revision>2</cp:revision>
  <dcterms:created xsi:type="dcterms:W3CDTF">2023-01-26T16:47:00Z</dcterms:created>
  <dcterms:modified xsi:type="dcterms:W3CDTF">2023-01-26T16:47:00Z</dcterms:modified>
</cp:coreProperties>
</file>